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C66" w:rsidRPr="00C04EC1" w:rsidRDefault="00B40D1F" w:rsidP="00C04EC1">
      <w:pPr>
        <w:pStyle w:val="ListParagraph"/>
        <w:spacing w:after="0" w:line="240" w:lineRule="auto"/>
        <w:jc w:val="right"/>
        <w:rPr>
          <w:rFonts w:ascii="Times New Roman" w:hAnsi="Times New Roman"/>
          <w:i/>
          <w:sz w:val="24"/>
          <w:szCs w:val="24"/>
        </w:rPr>
      </w:pPr>
      <w:bookmarkStart w:id="0" w:name="_GoBack"/>
      <w:bookmarkEnd w:id="0"/>
      <w:r>
        <w:rPr>
          <w:rFonts w:ascii="Times New Roman" w:hAnsi="Times New Roman"/>
          <w:i/>
          <w:sz w:val="24"/>
          <w:szCs w:val="24"/>
        </w:rPr>
        <w:t>19</w:t>
      </w:r>
      <w:r w:rsidR="00890C66" w:rsidRPr="00C04EC1">
        <w:rPr>
          <w:rFonts w:ascii="Times New Roman" w:hAnsi="Times New Roman"/>
          <w:i/>
          <w:sz w:val="24"/>
          <w:szCs w:val="24"/>
        </w:rPr>
        <w:t>.02.2016.</w:t>
      </w:r>
    </w:p>
    <w:p w:rsidR="00890C66" w:rsidRPr="00C04EC1" w:rsidRDefault="00890C66" w:rsidP="00C04EC1">
      <w:pPr>
        <w:jc w:val="center"/>
        <w:rPr>
          <w:rFonts w:ascii="Times New Roman" w:hAnsi="Times New Roman"/>
          <w:b/>
          <w:sz w:val="24"/>
          <w:szCs w:val="24"/>
          <w:u w:val="single"/>
        </w:rPr>
      </w:pPr>
    </w:p>
    <w:p w:rsidR="005F32AD" w:rsidRPr="00C04EC1" w:rsidRDefault="005F32AD" w:rsidP="00C04EC1">
      <w:pPr>
        <w:pStyle w:val="ListParagraph"/>
        <w:spacing w:after="0" w:line="240" w:lineRule="auto"/>
        <w:rPr>
          <w:rFonts w:ascii="Times New Roman" w:hAnsi="Times New Roman"/>
          <w:b/>
          <w:sz w:val="24"/>
          <w:szCs w:val="24"/>
          <w:u w:val="single"/>
        </w:rPr>
      </w:pPr>
      <w:r w:rsidRPr="00C04EC1">
        <w:rPr>
          <w:rFonts w:ascii="Times New Roman" w:hAnsi="Times New Roman"/>
          <w:b/>
          <w:sz w:val="24"/>
          <w:szCs w:val="24"/>
          <w:u w:val="single"/>
        </w:rPr>
        <w:t>Projekta iesnieguma sagatavošanas, iesniegšanas un vērtēšanas jautājumi</w:t>
      </w:r>
    </w:p>
    <w:p w:rsidR="005F32AD" w:rsidRPr="00C04EC1" w:rsidRDefault="005F32AD" w:rsidP="00C04EC1">
      <w:pPr>
        <w:jc w:val="both"/>
        <w:rPr>
          <w:rFonts w:ascii="Times New Roman" w:hAnsi="Times New Roman"/>
          <w:iCs/>
          <w:sz w:val="24"/>
          <w:szCs w:val="24"/>
        </w:rPr>
      </w:pPr>
    </w:p>
    <w:p w:rsidR="000B6233" w:rsidRPr="00C04EC1" w:rsidRDefault="000B6233" w:rsidP="00C04EC1">
      <w:pPr>
        <w:pStyle w:val="ListParagraph"/>
        <w:numPr>
          <w:ilvl w:val="0"/>
          <w:numId w:val="13"/>
        </w:numPr>
        <w:spacing w:after="0" w:line="240" w:lineRule="auto"/>
        <w:jc w:val="both"/>
        <w:rPr>
          <w:rFonts w:ascii="Times New Roman" w:hAnsi="Times New Roman"/>
          <w:sz w:val="24"/>
          <w:szCs w:val="24"/>
        </w:rPr>
      </w:pPr>
      <w:r w:rsidRPr="00C04EC1">
        <w:rPr>
          <w:rFonts w:ascii="Times New Roman" w:hAnsi="Times New Roman"/>
          <w:sz w:val="24"/>
          <w:szCs w:val="24"/>
        </w:rPr>
        <w:t>Sakarā ar to, ka Vieglās rūpniecības nozare ir vērtējama plašāk kā to iedala pēc NACE 2 klasifikācijas, lūdzam precizēt Biedrības atbilstības vērtēšanu, ja Projekta iesniedzējs sniedz projektu Kvalitātes kritērija Nr.1 nozarē – Vieglā rūpniecība</w:t>
      </w:r>
      <w:r w:rsidRPr="00C04EC1">
        <w:rPr>
          <w:rFonts w:ascii="Times New Roman" w:hAnsi="Times New Roman"/>
          <w:b/>
          <w:bCs/>
          <w:sz w:val="24"/>
          <w:szCs w:val="24"/>
        </w:rPr>
        <w:t>:</w:t>
      </w:r>
    </w:p>
    <w:p w:rsidR="000B6233" w:rsidRPr="00C04EC1" w:rsidRDefault="000B6233" w:rsidP="00B40D1F">
      <w:pPr>
        <w:pStyle w:val="ListParagraph"/>
        <w:numPr>
          <w:ilvl w:val="3"/>
          <w:numId w:val="17"/>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Tekstilizstrādājumu ražošana (C sadaļa 13 grupa) tiks klasificēti kā atbilstoši „Vieglā rūpniecība” nozarei?</w:t>
      </w:r>
    </w:p>
    <w:p w:rsidR="000B6233" w:rsidRPr="00C04EC1" w:rsidRDefault="000B6233" w:rsidP="00B40D1F">
      <w:pPr>
        <w:pStyle w:val="ListParagraph"/>
        <w:spacing w:after="0" w:line="240" w:lineRule="auto"/>
        <w:ind w:left="1800"/>
        <w:jc w:val="both"/>
        <w:rPr>
          <w:rFonts w:ascii="Times New Roman" w:hAnsi="Times New Roman"/>
          <w:sz w:val="24"/>
          <w:szCs w:val="24"/>
        </w:rPr>
      </w:pPr>
      <w:r w:rsidRPr="00C04EC1">
        <w:rPr>
          <w:rFonts w:ascii="Times New Roman" w:hAnsi="Times New Roman"/>
          <w:b/>
          <w:bCs/>
          <w:sz w:val="24"/>
          <w:szCs w:val="24"/>
        </w:rPr>
        <w:t>Atbilde:</w:t>
      </w:r>
      <w:r w:rsidRPr="00C04EC1">
        <w:rPr>
          <w:rFonts w:ascii="Times New Roman" w:hAnsi="Times New Roman"/>
          <w:sz w:val="24"/>
          <w:szCs w:val="24"/>
        </w:rPr>
        <w:t xml:space="preserve"> Jā</w:t>
      </w:r>
    </w:p>
    <w:p w:rsidR="000B6233" w:rsidRPr="00C04EC1" w:rsidRDefault="000B6233" w:rsidP="00B40D1F">
      <w:pPr>
        <w:pStyle w:val="ListParagraph"/>
        <w:numPr>
          <w:ilvl w:val="3"/>
          <w:numId w:val="17"/>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Apģērbu ražošana (C sadaļa 14 grupa) tiks klasificēti kā atbilstoši „Vieglā rūpniecība” nozarei?</w:t>
      </w:r>
    </w:p>
    <w:p w:rsidR="000B6233" w:rsidRPr="00C04EC1" w:rsidRDefault="000B6233" w:rsidP="00B40D1F">
      <w:pPr>
        <w:pStyle w:val="ListParagraph"/>
        <w:spacing w:after="0" w:line="240" w:lineRule="auto"/>
        <w:ind w:left="1800"/>
        <w:jc w:val="both"/>
        <w:rPr>
          <w:rFonts w:ascii="Times New Roman" w:hAnsi="Times New Roman"/>
          <w:sz w:val="24"/>
          <w:szCs w:val="24"/>
        </w:rPr>
      </w:pPr>
      <w:r w:rsidRPr="00C04EC1">
        <w:rPr>
          <w:rFonts w:ascii="Times New Roman" w:hAnsi="Times New Roman"/>
          <w:b/>
          <w:bCs/>
          <w:sz w:val="24"/>
          <w:szCs w:val="24"/>
        </w:rPr>
        <w:t>Atbilde:</w:t>
      </w:r>
      <w:r w:rsidRPr="00C04EC1">
        <w:rPr>
          <w:rFonts w:ascii="Times New Roman" w:hAnsi="Times New Roman"/>
          <w:sz w:val="24"/>
          <w:szCs w:val="24"/>
        </w:rPr>
        <w:t xml:space="preserve"> Jā</w:t>
      </w:r>
    </w:p>
    <w:p w:rsidR="000B6233" w:rsidRPr="00C04EC1" w:rsidRDefault="000B6233" w:rsidP="00B40D1F">
      <w:pPr>
        <w:pStyle w:val="ListParagraph"/>
        <w:numPr>
          <w:ilvl w:val="3"/>
          <w:numId w:val="17"/>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Ādas un ādas izstrādājumu ražošana (C sadaļa 15 grupa) tiks klasificēti kā atbilstoši „Vieglā rūpniecība” nozarei?</w:t>
      </w:r>
    </w:p>
    <w:p w:rsidR="000B6233" w:rsidRPr="00C04EC1" w:rsidRDefault="000B6233" w:rsidP="00B40D1F">
      <w:pPr>
        <w:pStyle w:val="ListParagraph"/>
        <w:spacing w:after="0" w:line="240" w:lineRule="auto"/>
        <w:ind w:left="1800"/>
        <w:jc w:val="both"/>
        <w:rPr>
          <w:rFonts w:ascii="Times New Roman" w:hAnsi="Times New Roman"/>
          <w:sz w:val="24"/>
          <w:szCs w:val="24"/>
        </w:rPr>
      </w:pPr>
      <w:r w:rsidRPr="00C04EC1">
        <w:rPr>
          <w:rFonts w:ascii="Times New Roman" w:hAnsi="Times New Roman"/>
          <w:b/>
          <w:bCs/>
          <w:sz w:val="24"/>
          <w:szCs w:val="24"/>
        </w:rPr>
        <w:t>Atbilde:</w:t>
      </w:r>
      <w:r w:rsidRPr="00C04EC1">
        <w:rPr>
          <w:rFonts w:ascii="Times New Roman" w:hAnsi="Times New Roman"/>
          <w:sz w:val="24"/>
          <w:szCs w:val="24"/>
        </w:rPr>
        <w:t xml:space="preserve"> Jā</w:t>
      </w:r>
    </w:p>
    <w:p w:rsidR="000B6233" w:rsidRPr="00C04EC1" w:rsidRDefault="000B6233" w:rsidP="00B40D1F">
      <w:pPr>
        <w:pStyle w:val="ListParagraph"/>
        <w:numPr>
          <w:ilvl w:val="3"/>
          <w:numId w:val="17"/>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Juvelierizstrādājumu, bižutērijas un līdzīgu izstrādājumu ražošana (C sadaļa 32.1 grupa) tiks klasificēti kā atbilstoši „Vieglā rūpniecība” nozarei?</w:t>
      </w:r>
    </w:p>
    <w:p w:rsidR="000B6233" w:rsidRPr="00C04EC1" w:rsidRDefault="000B6233" w:rsidP="00B40D1F">
      <w:pPr>
        <w:pStyle w:val="ListParagraph"/>
        <w:spacing w:after="0" w:line="240" w:lineRule="auto"/>
        <w:ind w:left="1800"/>
        <w:jc w:val="both"/>
        <w:rPr>
          <w:rFonts w:ascii="Times New Roman" w:hAnsi="Times New Roman"/>
          <w:sz w:val="24"/>
          <w:szCs w:val="24"/>
        </w:rPr>
      </w:pPr>
      <w:r w:rsidRPr="00C04EC1">
        <w:rPr>
          <w:rFonts w:ascii="Times New Roman" w:hAnsi="Times New Roman"/>
          <w:b/>
          <w:bCs/>
          <w:sz w:val="24"/>
          <w:szCs w:val="24"/>
        </w:rPr>
        <w:t>Atbilde:</w:t>
      </w:r>
      <w:r w:rsidRPr="00C04EC1">
        <w:rPr>
          <w:rFonts w:ascii="Times New Roman" w:hAnsi="Times New Roman"/>
          <w:sz w:val="24"/>
          <w:szCs w:val="24"/>
        </w:rPr>
        <w:t xml:space="preserve"> Jā</w:t>
      </w:r>
    </w:p>
    <w:p w:rsidR="000B6233" w:rsidRPr="00C04EC1" w:rsidRDefault="000B6233" w:rsidP="00B40D1F">
      <w:pPr>
        <w:pStyle w:val="ListParagraph"/>
        <w:numPr>
          <w:ilvl w:val="3"/>
          <w:numId w:val="17"/>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Mūzikas instrumentu ražošana (C sadaļa 32.2 grupa) tiks klasificēti kā atbilstoši „Vieglā rūpniecība” nozarei?</w:t>
      </w:r>
    </w:p>
    <w:p w:rsidR="000B6233" w:rsidRPr="00C04EC1" w:rsidRDefault="000B6233" w:rsidP="00B40D1F">
      <w:pPr>
        <w:pStyle w:val="ListParagraph"/>
        <w:spacing w:after="0" w:line="240" w:lineRule="auto"/>
        <w:ind w:left="1800"/>
        <w:jc w:val="both"/>
        <w:rPr>
          <w:rFonts w:ascii="Times New Roman" w:hAnsi="Times New Roman"/>
          <w:sz w:val="24"/>
          <w:szCs w:val="24"/>
        </w:rPr>
      </w:pPr>
      <w:r w:rsidRPr="00C04EC1">
        <w:rPr>
          <w:rFonts w:ascii="Times New Roman" w:hAnsi="Times New Roman"/>
          <w:b/>
          <w:bCs/>
          <w:sz w:val="24"/>
          <w:szCs w:val="24"/>
        </w:rPr>
        <w:t>Atbilde:</w:t>
      </w:r>
      <w:r w:rsidRPr="00C04EC1">
        <w:rPr>
          <w:rFonts w:ascii="Times New Roman" w:hAnsi="Times New Roman"/>
          <w:sz w:val="24"/>
          <w:szCs w:val="24"/>
        </w:rPr>
        <w:t xml:space="preserve"> Jā</w:t>
      </w:r>
    </w:p>
    <w:p w:rsidR="000B6233" w:rsidRPr="00C04EC1" w:rsidRDefault="000B6233" w:rsidP="00B40D1F">
      <w:pPr>
        <w:pStyle w:val="ListParagraph"/>
        <w:numPr>
          <w:ilvl w:val="3"/>
          <w:numId w:val="17"/>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Sporta preču ražošana (C sadaļa 32.3 grupa) tiks klasificēti kā atbilstoši „Vieglā rūpniecība” nozarei?</w:t>
      </w:r>
    </w:p>
    <w:p w:rsidR="000B6233" w:rsidRPr="00C04EC1" w:rsidRDefault="000B6233" w:rsidP="00B40D1F">
      <w:pPr>
        <w:pStyle w:val="ListParagraph"/>
        <w:spacing w:after="0" w:line="240" w:lineRule="auto"/>
        <w:ind w:left="1800"/>
        <w:jc w:val="both"/>
        <w:rPr>
          <w:rFonts w:ascii="Times New Roman" w:hAnsi="Times New Roman"/>
          <w:sz w:val="24"/>
          <w:szCs w:val="24"/>
        </w:rPr>
      </w:pPr>
      <w:r w:rsidRPr="00C04EC1">
        <w:rPr>
          <w:rFonts w:ascii="Times New Roman" w:hAnsi="Times New Roman"/>
          <w:b/>
          <w:bCs/>
          <w:sz w:val="24"/>
          <w:szCs w:val="24"/>
        </w:rPr>
        <w:t>Atbilde:</w:t>
      </w:r>
      <w:r w:rsidRPr="00C04EC1">
        <w:rPr>
          <w:rFonts w:ascii="Times New Roman" w:hAnsi="Times New Roman"/>
          <w:sz w:val="24"/>
          <w:szCs w:val="24"/>
        </w:rPr>
        <w:t xml:space="preserve"> Jā</w:t>
      </w:r>
    </w:p>
    <w:p w:rsidR="000B6233" w:rsidRPr="00C04EC1" w:rsidRDefault="000B6233" w:rsidP="00B40D1F">
      <w:pPr>
        <w:pStyle w:val="ListParagraph"/>
        <w:numPr>
          <w:ilvl w:val="3"/>
          <w:numId w:val="17"/>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Spēļu un rotaļlietu ražošana (C sadaļa 32.40 grupa) tiks klasificēti kā atbilstoši „Vieglā rūpniecība” nozarei?</w:t>
      </w:r>
    </w:p>
    <w:p w:rsidR="000B6233" w:rsidRPr="00C04EC1" w:rsidRDefault="000B6233" w:rsidP="00B40D1F">
      <w:pPr>
        <w:pStyle w:val="ListParagraph"/>
        <w:spacing w:after="0" w:line="240" w:lineRule="auto"/>
        <w:ind w:left="1800"/>
        <w:jc w:val="both"/>
        <w:rPr>
          <w:rFonts w:ascii="Times New Roman" w:hAnsi="Times New Roman"/>
          <w:sz w:val="24"/>
          <w:szCs w:val="24"/>
        </w:rPr>
      </w:pPr>
      <w:r w:rsidRPr="00C04EC1">
        <w:rPr>
          <w:rFonts w:ascii="Times New Roman" w:hAnsi="Times New Roman"/>
          <w:b/>
          <w:bCs/>
          <w:sz w:val="24"/>
          <w:szCs w:val="24"/>
        </w:rPr>
        <w:t>Atbilde:</w:t>
      </w:r>
      <w:r w:rsidRPr="00C04EC1">
        <w:rPr>
          <w:rFonts w:ascii="Times New Roman" w:hAnsi="Times New Roman"/>
          <w:sz w:val="24"/>
          <w:szCs w:val="24"/>
        </w:rPr>
        <w:t xml:space="preserve"> Jā</w:t>
      </w:r>
    </w:p>
    <w:p w:rsidR="000B6233" w:rsidRPr="00C04EC1" w:rsidRDefault="000B6233" w:rsidP="00B40D1F">
      <w:pPr>
        <w:pStyle w:val="ListParagraph"/>
        <w:numPr>
          <w:ilvl w:val="3"/>
          <w:numId w:val="17"/>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Citur neklasificēta ražošana (C sadaļa 32.9 grupa) tiks klasificēti kā atbilstoši „Vieglā rūpniecība” nozarei?</w:t>
      </w:r>
    </w:p>
    <w:p w:rsidR="000B6233" w:rsidRPr="00C04EC1" w:rsidRDefault="000B6233" w:rsidP="00B40D1F">
      <w:pPr>
        <w:pStyle w:val="ListParagraph"/>
        <w:spacing w:after="0" w:line="240" w:lineRule="auto"/>
        <w:ind w:left="1800"/>
        <w:jc w:val="both"/>
        <w:rPr>
          <w:rFonts w:ascii="Times New Roman" w:hAnsi="Times New Roman"/>
          <w:sz w:val="24"/>
          <w:szCs w:val="24"/>
        </w:rPr>
      </w:pPr>
      <w:r w:rsidRPr="00C04EC1">
        <w:rPr>
          <w:rFonts w:ascii="Times New Roman" w:hAnsi="Times New Roman"/>
          <w:b/>
          <w:bCs/>
          <w:sz w:val="24"/>
          <w:szCs w:val="24"/>
        </w:rPr>
        <w:t>Atbilde:</w:t>
      </w:r>
      <w:r w:rsidRPr="00C04EC1">
        <w:rPr>
          <w:rFonts w:ascii="Times New Roman" w:hAnsi="Times New Roman"/>
          <w:sz w:val="24"/>
          <w:szCs w:val="24"/>
        </w:rPr>
        <w:t xml:space="preserve"> Jā</w:t>
      </w:r>
    </w:p>
    <w:p w:rsidR="000B6233" w:rsidRPr="00C04EC1" w:rsidRDefault="000B6233" w:rsidP="00C04EC1">
      <w:pPr>
        <w:pStyle w:val="ListParagraph"/>
        <w:numPr>
          <w:ilvl w:val="0"/>
          <w:numId w:val="13"/>
        </w:numPr>
        <w:spacing w:after="0" w:line="240" w:lineRule="auto"/>
        <w:jc w:val="both"/>
        <w:rPr>
          <w:rFonts w:ascii="Times New Roman" w:hAnsi="Times New Roman"/>
          <w:sz w:val="24"/>
          <w:szCs w:val="24"/>
        </w:rPr>
      </w:pPr>
      <w:r w:rsidRPr="00C04EC1">
        <w:rPr>
          <w:rFonts w:ascii="Times New Roman" w:hAnsi="Times New Roman"/>
          <w:sz w:val="24"/>
          <w:szCs w:val="24"/>
        </w:rPr>
        <w:t xml:space="preserve">Sakarā ar to, ka Kokapstrādes nozare ir vērtējama plašāk kā to iedala pēc NACE 2 klasifikācijas, lūdzam precizēt Biedrības atbilstības vērtēšanu, ja Projekta iesniedzējs sniedz projektu Kvalitātes kritērija Nr.1 nozarē – </w:t>
      </w:r>
      <w:r w:rsidRPr="00C04EC1">
        <w:rPr>
          <w:rFonts w:ascii="Times New Roman" w:hAnsi="Times New Roman"/>
          <w:b/>
          <w:bCs/>
          <w:sz w:val="24"/>
          <w:szCs w:val="24"/>
        </w:rPr>
        <w:t>Kokapstrāde:</w:t>
      </w:r>
    </w:p>
    <w:p w:rsidR="000B6233" w:rsidRPr="00C04EC1" w:rsidRDefault="000B6233" w:rsidP="00B40D1F">
      <w:pPr>
        <w:pStyle w:val="ListParagraph"/>
        <w:numPr>
          <w:ilvl w:val="0"/>
          <w:numId w:val="18"/>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Mēbeļu ražošana (C sadaļa 31.0) tiks klasificēti kā atbilstoši „kokapstrāde” nozarei?</w:t>
      </w:r>
    </w:p>
    <w:p w:rsidR="000B6233" w:rsidRPr="00B40D1F" w:rsidRDefault="000B6233" w:rsidP="00B40D1F">
      <w:pPr>
        <w:ind w:left="1080"/>
        <w:jc w:val="both"/>
        <w:rPr>
          <w:rFonts w:ascii="Times New Roman" w:hAnsi="Times New Roman"/>
          <w:sz w:val="24"/>
          <w:szCs w:val="24"/>
        </w:rPr>
      </w:pPr>
      <w:r w:rsidRPr="00B40D1F">
        <w:rPr>
          <w:rFonts w:ascii="Times New Roman" w:hAnsi="Times New Roman"/>
          <w:b/>
          <w:bCs/>
          <w:sz w:val="24"/>
          <w:szCs w:val="24"/>
        </w:rPr>
        <w:t>Atbilde:</w:t>
      </w:r>
      <w:r w:rsidRPr="00B40D1F">
        <w:rPr>
          <w:rFonts w:ascii="Times New Roman" w:hAnsi="Times New Roman"/>
          <w:sz w:val="24"/>
          <w:szCs w:val="24"/>
        </w:rPr>
        <w:t xml:space="preserve"> Jā, ja vien mēbeļu ražošana ir domāta kā mēbeļu ražošana no koka.</w:t>
      </w:r>
    </w:p>
    <w:p w:rsidR="000B6233" w:rsidRPr="00C04EC1" w:rsidRDefault="000B6233" w:rsidP="00B40D1F">
      <w:pPr>
        <w:pStyle w:val="ListParagraph"/>
        <w:numPr>
          <w:ilvl w:val="0"/>
          <w:numId w:val="18"/>
        </w:numPr>
        <w:spacing w:after="0" w:line="240" w:lineRule="auto"/>
        <w:jc w:val="both"/>
        <w:rPr>
          <w:rFonts w:ascii="Times New Roman" w:hAnsi="Times New Roman"/>
          <w:sz w:val="24"/>
          <w:szCs w:val="24"/>
        </w:rPr>
      </w:pPr>
      <w:r w:rsidRPr="00C04EC1">
        <w:rPr>
          <w:rFonts w:ascii="Times New Roman" w:hAnsi="Times New Roman"/>
          <w:sz w:val="24"/>
          <w:szCs w:val="24"/>
        </w:rPr>
        <w:lastRenderedPageBreak/>
        <w:t>Vai Projekta iesniedzēja biedri, kas saskaņā ar NACE 2 pārstāv nozari – Mežizstrāde un palīgdarbības (A sadaļa 02.20- 02.40) tiks klasificēti kā atbilstoši „kokapstrāde” nozarei?</w:t>
      </w:r>
    </w:p>
    <w:p w:rsidR="000B6233" w:rsidRPr="00B40D1F" w:rsidRDefault="000B6233" w:rsidP="00B40D1F">
      <w:pPr>
        <w:ind w:left="1080"/>
        <w:jc w:val="both"/>
        <w:rPr>
          <w:rFonts w:ascii="Times New Roman" w:hAnsi="Times New Roman"/>
          <w:sz w:val="24"/>
          <w:szCs w:val="24"/>
        </w:rPr>
      </w:pPr>
      <w:r w:rsidRPr="00B40D1F">
        <w:rPr>
          <w:rFonts w:ascii="Times New Roman" w:hAnsi="Times New Roman"/>
          <w:b/>
          <w:bCs/>
          <w:sz w:val="24"/>
          <w:szCs w:val="24"/>
        </w:rPr>
        <w:t>Atbilde:</w:t>
      </w:r>
      <w:r w:rsidRPr="00B40D1F">
        <w:rPr>
          <w:rFonts w:ascii="Times New Roman" w:hAnsi="Times New Roman"/>
          <w:sz w:val="24"/>
          <w:szCs w:val="24"/>
        </w:rPr>
        <w:t xml:space="preserve"> Jā</w:t>
      </w:r>
    </w:p>
    <w:p w:rsidR="000B6233" w:rsidRPr="00C04EC1" w:rsidRDefault="000B6233" w:rsidP="00C04EC1">
      <w:pPr>
        <w:pStyle w:val="ListParagraph"/>
        <w:spacing w:after="0" w:line="240" w:lineRule="auto"/>
        <w:ind w:firstLine="300"/>
        <w:jc w:val="both"/>
        <w:rPr>
          <w:rFonts w:ascii="Times New Roman" w:hAnsi="Times New Roman"/>
          <w:b/>
          <w:bCs/>
          <w:sz w:val="24"/>
          <w:szCs w:val="24"/>
        </w:rPr>
      </w:pPr>
    </w:p>
    <w:p w:rsidR="000B6233" w:rsidRPr="00C04EC1" w:rsidRDefault="000B6233" w:rsidP="00C04EC1">
      <w:pPr>
        <w:pStyle w:val="ListParagraph"/>
        <w:numPr>
          <w:ilvl w:val="0"/>
          <w:numId w:val="13"/>
        </w:numPr>
        <w:spacing w:after="0" w:line="240" w:lineRule="auto"/>
        <w:jc w:val="both"/>
        <w:rPr>
          <w:rFonts w:ascii="Times New Roman" w:hAnsi="Times New Roman"/>
          <w:sz w:val="24"/>
          <w:szCs w:val="24"/>
        </w:rPr>
      </w:pPr>
      <w:r w:rsidRPr="00C04EC1">
        <w:rPr>
          <w:rFonts w:ascii="Times New Roman" w:hAnsi="Times New Roman"/>
          <w:sz w:val="24"/>
          <w:szCs w:val="24"/>
        </w:rPr>
        <w:t xml:space="preserve">Sakarā ar to, ka Izmitināšanas un ēdināšanas pakalpojumu nozare projekta kontekstā ir vērtējama plašāk (t.i. tautsaimniecībā kopumā tā tiek klasificēta kā </w:t>
      </w:r>
      <w:r w:rsidRPr="00C04EC1">
        <w:rPr>
          <w:rFonts w:ascii="Times New Roman" w:hAnsi="Times New Roman"/>
          <w:b/>
          <w:bCs/>
          <w:sz w:val="24"/>
          <w:szCs w:val="24"/>
          <w:u w:val="single"/>
        </w:rPr>
        <w:t>tūrisma</w:t>
      </w:r>
      <w:r w:rsidRPr="00C04EC1">
        <w:rPr>
          <w:rFonts w:ascii="Times New Roman" w:hAnsi="Times New Roman"/>
          <w:sz w:val="24"/>
          <w:szCs w:val="24"/>
          <w:u w:val="single"/>
        </w:rPr>
        <w:t xml:space="preserve"> nozare</w:t>
      </w:r>
      <w:r w:rsidRPr="00C04EC1">
        <w:rPr>
          <w:rFonts w:ascii="Times New Roman" w:hAnsi="Times New Roman"/>
          <w:sz w:val="24"/>
          <w:szCs w:val="24"/>
        </w:rPr>
        <w:t xml:space="preserve">) kā to iedala pēc NACE 2 klasifikācijas, lūdzam precizēt Biedrības atbilstības vērtēšanu, ja Projekta iesniedzējs sniedz projektu Kvalitātes kritērija Nr.1 nozarē – </w:t>
      </w:r>
      <w:r w:rsidRPr="00C04EC1">
        <w:rPr>
          <w:rFonts w:ascii="Times New Roman" w:hAnsi="Times New Roman"/>
          <w:b/>
          <w:bCs/>
          <w:sz w:val="24"/>
          <w:szCs w:val="24"/>
        </w:rPr>
        <w:t>Izmitināšanas un ēdināšanas pakalpojumi</w:t>
      </w:r>
      <w:r w:rsidRPr="00C04EC1">
        <w:rPr>
          <w:rFonts w:ascii="Times New Roman" w:hAnsi="Times New Roman"/>
          <w:sz w:val="24"/>
          <w:szCs w:val="24"/>
        </w:rPr>
        <w:t>:</w:t>
      </w:r>
    </w:p>
    <w:p w:rsidR="000B6233" w:rsidRPr="00C04EC1" w:rsidRDefault="000B6233" w:rsidP="00B40D1F">
      <w:pPr>
        <w:pStyle w:val="ListParagraph"/>
        <w:numPr>
          <w:ilvl w:val="0"/>
          <w:numId w:val="18"/>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Pasažieru dzelzceļa transports (H sadaļa 49.10); Pasažieru jūras un piekrastes ūdens transports (H sadaļa 50.10); Pasažieru pārvadājumi iekšzemes ūdeņos (H sadaļa 50.30) un Pasažieru aviopārvadājumi (H sadaļa 51.10) tiks klasificēti kā atbilstoši „Izmitināšanas un ēdināšanas pakalpojumi” nozarei?</w:t>
      </w:r>
    </w:p>
    <w:p w:rsidR="000B6233" w:rsidRPr="00B40D1F" w:rsidRDefault="000B6233" w:rsidP="00B40D1F">
      <w:pPr>
        <w:ind w:left="1080"/>
        <w:jc w:val="both"/>
        <w:rPr>
          <w:rFonts w:ascii="Times New Roman" w:hAnsi="Times New Roman"/>
          <w:sz w:val="24"/>
          <w:szCs w:val="24"/>
        </w:rPr>
      </w:pPr>
      <w:r w:rsidRPr="00B40D1F">
        <w:rPr>
          <w:rFonts w:ascii="Times New Roman" w:hAnsi="Times New Roman"/>
          <w:b/>
          <w:bCs/>
          <w:sz w:val="24"/>
          <w:szCs w:val="24"/>
        </w:rPr>
        <w:t>Atbilde:</w:t>
      </w:r>
      <w:r w:rsidRPr="00B40D1F">
        <w:rPr>
          <w:rFonts w:ascii="Times New Roman" w:hAnsi="Times New Roman"/>
          <w:sz w:val="24"/>
          <w:szCs w:val="24"/>
        </w:rPr>
        <w:t xml:space="preserve"> Jā</w:t>
      </w:r>
    </w:p>
    <w:p w:rsidR="000B6233" w:rsidRPr="00C04EC1" w:rsidRDefault="000B6233" w:rsidP="00C04EC1">
      <w:pPr>
        <w:pStyle w:val="ListParagraph"/>
        <w:spacing w:after="0" w:line="240" w:lineRule="auto"/>
        <w:ind w:left="1080"/>
        <w:jc w:val="both"/>
        <w:rPr>
          <w:rFonts w:ascii="Times New Roman" w:hAnsi="Times New Roman"/>
          <w:sz w:val="24"/>
          <w:szCs w:val="24"/>
        </w:rPr>
      </w:pPr>
    </w:p>
    <w:p w:rsidR="000B6233" w:rsidRPr="00C04EC1" w:rsidRDefault="000B6233" w:rsidP="00B40D1F">
      <w:pPr>
        <w:pStyle w:val="ListParagraph"/>
        <w:numPr>
          <w:ilvl w:val="0"/>
          <w:numId w:val="19"/>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Ceļojumu biroju pakalpojumi (N sadaļa 79.11) un Tūrisma operatoru pakalpojumi (N sadaļa 79.12) tiks klasificēti kā atbilstoši „Izmitināšanas un ēdināšanas pakalpojumi” nozarei?</w:t>
      </w:r>
    </w:p>
    <w:p w:rsidR="000B6233" w:rsidRPr="00B40D1F" w:rsidRDefault="000B6233" w:rsidP="00B40D1F">
      <w:pPr>
        <w:ind w:left="360" w:firstLine="720"/>
        <w:jc w:val="both"/>
        <w:rPr>
          <w:rFonts w:ascii="Times New Roman" w:hAnsi="Times New Roman"/>
          <w:sz w:val="24"/>
          <w:szCs w:val="24"/>
        </w:rPr>
      </w:pPr>
      <w:r w:rsidRPr="00B40D1F">
        <w:rPr>
          <w:rFonts w:ascii="Times New Roman" w:hAnsi="Times New Roman"/>
          <w:b/>
          <w:bCs/>
          <w:sz w:val="24"/>
          <w:szCs w:val="24"/>
        </w:rPr>
        <w:t>Atbilde:</w:t>
      </w:r>
      <w:r w:rsidRPr="00B40D1F">
        <w:rPr>
          <w:rFonts w:ascii="Times New Roman" w:hAnsi="Times New Roman"/>
          <w:sz w:val="24"/>
          <w:szCs w:val="24"/>
        </w:rPr>
        <w:t xml:space="preserve"> Jā</w:t>
      </w:r>
    </w:p>
    <w:p w:rsidR="000B6233" w:rsidRPr="00C04EC1" w:rsidRDefault="000B6233" w:rsidP="00C04EC1">
      <w:pPr>
        <w:ind w:left="720"/>
        <w:jc w:val="both"/>
        <w:rPr>
          <w:rFonts w:ascii="Times New Roman" w:hAnsi="Times New Roman"/>
          <w:sz w:val="24"/>
          <w:szCs w:val="24"/>
        </w:rPr>
      </w:pPr>
    </w:p>
    <w:p w:rsidR="000B6233" w:rsidRPr="00C04EC1" w:rsidRDefault="000B6233" w:rsidP="00B40D1F">
      <w:pPr>
        <w:pStyle w:val="ListParagraph"/>
        <w:numPr>
          <w:ilvl w:val="0"/>
          <w:numId w:val="19"/>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Veselības aizsardzība (Q sadaļa 86.0) tiks klasificēti kā atbilstoši „Izmitināšanas un ēdināšanas pakalpojumi” nozarei?</w:t>
      </w:r>
    </w:p>
    <w:p w:rsidR="000B6233" w:rsidRPr="00B40D1F" w:rsidRDefault="000B6233" w:rsidP="00B40D1F">
      <w:pPr>
        <w:ind w:left="360" w:firstLine="720"/>
        <w:jc w:val="both"/>
        <w:rPr>
          <w:rFonts w:ascii="Times New Roman" w:hAnsi="Times New Roman"/>
          <w:sz w:val="24"/>
          <w:szCs w:val="24"/>
        </w:rPr>
      </w:pPr>
      <w:r w:rsidRPr="00B40D1F">
        <w:rPr>
          <w:rFonts w:ascii="Times New Roman" w:hAnsi="Times New Roman"/>
          <w:b/>
          <w:bCs/>
          <w:sz w:val="24"/>
          <w:szCs w:val="24"/>
        </w:rPr>
        <w:t>Atbilde:</w:t>
      </w:r>
      <w:r w:rsidRPr="00B40D1F">
        <w:rPr>
          <w:rFonts w:ascii="Times New Roman" w:hAnsi="Times New Roman"/>
          <w:sz w:val="24"/>
          <w:szCs w:val="24"/>
        </w:rPr>
        <w:t xml:space="preserve"> Jā</w:t>
      </w:r>
    </w:p>
    <w:p w:rsidR="000B6233" w:rsidRPr="00C04EC1" w:rsidRDefault="000B6233" w:rsidP="00C04EC1">
      <w:pPr>
        <w:ind w:left="720"/>
        <w:jc w:val="both"/>
        <w:rPr>
          <w:rFonts w:ascii="Times New Roman" w:hAnsi="Times New Roman"/>
          <w:sz w:val="24"/>
          <w:szCs w:val="24"/>
        </w:rPr>
      </w:pPr>
    </w:p>
    <w:p w:rsidR="000B6233" w:rsidRPr="00C04EC1" w:rsidRDefault="000B6233" w:rsidP="00B40D1F">
      <w:pPr>
        <w:pStyle w:val="ListParagraph"/>
        <w:numPr>
          <w:ilvl w:val="0"/>
          <w:numId w:val="19"/>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Radošas, mākslinieciskas un izklaides darbības (R sadaļa 90.0); Bibliotēku, arhīvu, muzeju un citu kultūras iestāžu darbība (R sadaļa 91.0) un Sporta nodarbības, izklaides un atpūtas darbība (R sadaļa 93.0)  tiks klasificēti kā atbilstoši „Izmitināšanas un ēdināšanas pakalpojumi” nozarei?</w:t>
      </w:r>
    </w:p>
    <w:p w:rsidR="000B6233" w:rsidRPr="00B40D1F" w:rsidRDefault="000B6233" w:rsidP="00B40D1F">
      <w:pPr>
        <w:ind w:left="360" w:firstLine="720"/>
        <w:jc w:val="both"/>
        <w:rPr>
          <w:rFonts w:ascii="Times New Roman" w:hAnsi="Times New Roman"/>
          <w:sz w:val="24"/>
          <w:szCs w:val="24"/>
        </w:rPr>
      </w:pPr>
      <w:r w:rsidRPr="00B40D1F">
        <w:rPr>
          <w:rFonts w:ascii="Times New Roman" w:hAnsi="Times New Roman"/>
          <w:b/>
          <w:bCs/>
          <w:sz w:val="24"/>
          <w:szCs w:val="24"/>
        </w:rPr>
        <w:t>Atbilde:</w:t>
      </w:r>
      <w:r w:rsidRPr="00B40D1F">
        <w:rPr>
          <w:rFonts w:ascii="Times New Roman" w:hAnsi="Times New Roman"/>
          <w:sz w:val="24"/>
          <w:szCs w:val="24"/>
        </w:rPr>
        <w:t xml:space="preserve"> Jā</w:t>
      </w:r>
    </w:p>
    <w:p w:rsidR="000B6233" w:rsidRPr="00C04EC1" w:rsidRDefault="000B6233" w:rsidP="00C04EC1">
      <w:pPr>
        <w:pStyle w:val="ListParagraph"/>
        <w:spacing w:after="0" w:line="240" w:lineRule="auto"/>
        <w:jc w:val="both"/>
        <w:rPr>
          <w:rFonts w:ascii="Times New Roman" w:hAnsi="Times New Roman"/>
          <w:sz w:val="24"/>
          <w:szCs w:val="24"/>
        </w:rPr>
      </w:pPr>
    </w:p>
    <w:p w:rsidR="000B6233" w:rsidRPr="00C04EC1" w:rsidRDefault="000B6233" w:rsidP="00C04EC1">
      <w:pPr>
        <w:pStyle w:val="ListParagraph"/>
        <w:numPr>
          <w:ilvl w:val="0"/>
          <w:numId w:val="13"/>
        </w:numPr>
        <w:spacing w:after="0" w:line="240" w:lineRule="auto"/>
        <w:jc w:val="both"/>
        <w:rPr>
          <w:rFonts w:ascii="Times New Roman" w:hAnsi="Times New Roman"/>
          <w:sz w:val="24"/>
          <w:szCs w:val="24"/>
        </w:rPr>
      </w:pPr>
      <w:r w:rsidRPr="00C04EC1">
        <w:rPr>
          <w:rFonts w:ascii="Times New Roman" w:hAnsi="Times New Roman"/>
          <w:sz w:val="24"/>
          <w:szCs w:val="24"/>
        </w:rPr>
        <w:t xml:space="preserve">Sakarā ar to, ka Informācijas un komunikācijas tehnoloģijas nozare pēc NACE 2 klasifikācijas ir vērtējama pietiekami plaši (J sadaļa Informācijas un komunikācijas pakalpojumi), lūdzam precizēt Biedrības atbilstības vērtēšanu, ja Projekta iesniedzējs sniedz projektu Kvalitātes kritērija Nr.1 nozarē – </w:t>
      </w:r>
      <w:r w:rsidRPr="00C04EC1">
        <w:rPr>
          <w:rFonts w:ascii="Times New Roman" w:hAnsi="Times New Roman"/>
          <w:b/>
          <w:bCs/>
          <w:sz w:val="24"/>
          <w:szCs w:val="24"/>
        </w:rPr>
        <w:t>Informācija</w:t>
      </w:r>
      <w:r w:rsidR="005F32AD" w:rsidRPr="00C04EC1">
        <w:rPr>
          <w:rFonts w:ascii="Times New Roman" w:hAnsi="Times New Roman"/>
          <w:b/>
          <w:bCs/>
          <w:sz w:val="24"/>
          <w:szCs w:val="24"/>
        </w:rPr>
        <w:t xml:space="preserve">s un komunikācijas tehnoloģijas. </w:t>
      </w:r>
      <w:r w:rsidRPr="00C04EC1">
        <w:rPr>
          <w:rFonts w:ascii="Times New Roman" w:hAnsi="Times New Roman"/>
          <w:sz w:val="24"/>
          <w:szCs w:val="24"/>
        </w:rPr>
        <w:t>Vai Projekta iesniedzēja biedri, kas saskaņā ar NACE 2 pārstāv kādu no J sadaļā (Informācijas un komunikācijas pakalpojumi 58-63)  minētajām nozarēm  tiks klasificēti kā atbilstoši „Informācijas un komunikācijas tehnoloģijas” nozarei?</w:t>
      </w:r>
    </w:p>
    <w:p w:rsidR="000B6233" w:rsidRPr="00B40D1F" w:rsidRDefault="000B6233" w:rsidP="00B40D1F">
      <w:pPr>
        <w:jc w:val="both"/>
        <w:rPr>
          <w:rFonts w:ascii="Times New Roman" w:hAnsi="Times New Roman"/>
          <w:sz w:val="24"/>
          <w:szCs w:val="24"/>
        </w:rPr>
      </w:pPr>
      <w:r w:rsidRPr="00B40D1F">
        <w:rPr>
          <w:rFonts w:ascii="Times New Roman" w:hAnsi="Times New Roman"/>
          <w:b/>
          <w:bCs/>
          <w:sz w:val="24"/>
          <w:szCs w:val="24"/>
        </w:rPr>
        <w:t>Atbilde:</w:t>
      </w:r>
      <w:r w:rsidRPr="00B40D1F">
        <w:rPr>
          <w:rFonts w:ascii="Times New Roman" w:hAnsi="Times New Roman"/>
          <w:sz w:val="24"/>
          <w:szCs w:val="24"/>
        </w:rPr>
        <w:t xml:space="preserve"> MK noteikumu Nr.617 1.pielikumā ir skaidri noteikts, ka informācijas un komunikācijas tehnoloģiju nozarē tiek iekļautas sekojošas NACE 2.red. J sadaļas apakšsadaļas:</w:t>
      </w:r>
    </w:p>
    <w:p w:rsidR="000B6233" w:rsidRPr="00C04EC1" w:rsidRDefault="000B6233" w:rsidP="00B40D1F">
      <w:pPr>
        <w:pStyle w:val="ListParagraph"/>
        <w:numPr>
          <w:ilvl w:val="0"/>
          <w:numId w:val="20"/>
        </w:numPr>
        <w:spacing w:after="0" w:line="240" w:lineRule="auto"/>
        <w:jc w:val="both"/>
        <w:rPr>
          <w:rFonts w:ascii="Times New Roman" w:hAnsi="Times New Roman"/>
          <w:sz w:val="24"/>
          <w:szCs w:val="24"/>
        </w:rPr>
      </w:pPr>
      <w:r w:rsidRPr="00C04EC1">
        <w:rPr>
          <w:rFonts w:ascii="Times New Roman" w:hAnsi="Times New Roman"/>
          <w:sz w:val="24"/>
          <w:szCs w:val="24"/>
        </w:rPr>
        <w:t>J 61 – Telekomunikācijas</w:t>
      </w:r>
    </w:p>
    <w:p w:rsidR="000B6233" w:rsidRPr="00C04EC1" w:rsidRDefault="000B6233" w:rsidP="00B40D1F">
      <w:pPr>
        <w:pStyle w:val="ListParagraph"/>
        <w:numPr>
          <w:ilvl w:val="0"/>
          <w:numId w:val="20"/>
        </w:numPr>
        <w:spacing w:after="0" w:line="240" w:lineRule="auto"/>
        <w:jc w:val="both"/>
        <w:rPr>
          <w:rFonts w:ascii="Times New Roman" w:hAnsi="Times New Roman"/>
          <w:sz w:val="24"/>
          <w:szCs w:val="24"/>
        </w:rPr>
      </w:pPr>
      <w:r w:rsidRPr="00C04EC1">
        <w:rPr>
          <w:rFonts w:ascii="Times New Roman" w:hAnsi="Times New Roman"/>
          <w:sz w:val="24"/>
          <w:szCs w:val="24"/>
        </w:rPr>
        <w:t>J 62 – Datorprogrammēšana</w:t>
      </w:r>
    </w:p>
    <w:p w:rsidR="00CE5C04" w:rsidRDefault="000B6233" w:rsidP="00B40D1F">
      <w:pPr>
        <w:pStyle w:val="ListParagraph"/>
        <w:numPr>
          <w:ilvl w:val="0"/>
          <w:numId w:val="20"/>
        </w:numPr>
        <w:spacing w:after="0" w:line="240" w:lineRule="auto"/>
        <w:jc w:val="both"/>
        <w:rPr>
          <w:rFonts w:ascii="Times New Roman" w:hAnsi="Times New Roman"/>
          <w:sz w:val="24"/>
          <w:szCs w:val="24"/>
        </w:rPr>
      </w:pPr>
      <w:r w:rsidRPr="00C04EC1">
        <w:rPr>
          <w:rFonts w:ascii="Times New Roman" w:hAnsi="Times New Roman"/>
          <w:sz w:val="24"/>
          <w:szCs w:val="24"/>
        </w:rPr>
        <w:lastRenderedPageBreak/>
        <w:t>J 63 – Informācijas pakalpojumi</w:t>
      </w:r>
    </w:p>
    <w:p w:rsidR="00B40D1F" w:rsidRPr="00C04EC1" w:rsidRDefault="00B40D1F" w:rsidP="00B40D1F">
      <w:pPr>
        <w:pStyle w:val="ListParagraph"/>
        <w:spacing w:after="0" w:line="240" w:lineRule="auto"/>
        <w:jc w:val="both"/>
        <w:rPr>
          <w:rFonts w:ascii="Times New Roman" w:hAnsi="Times New Roman"/>
          <w:sz w:val="24"/>
          <w:szCs w:val="24"/>
        </w:rPr>
      </w:pPr>
    </w:p>
    <w:p w:rsidR="00B40D1F" w:rsidRDefault="00B40D1F" w:rsidP="00B40D1F">
      <w:pPr>
        <w:pStyle w:val="ListParagraph"/>
        <w:numPr>
          <w:ilvl w:val="0"/>
          <w:numId w:val="13"/>
        </w:numPr>
        <w:spacing w:after="0" w:line="240" w:lineRule="auto"/>
        <w:rPr>
          <w:rFonts w:ascii="Times New Roman" w:hAnsi="Times New Roman"/>
          <w:b/>
          <w:bCs/>
          <w:sz w:val="24"/>
          <w:szCs w:val="24"/>
        </w:rPr>
      </w:pPr>
      <w:r w:rsidRPr="00C04EC1">
        <w:rPr>
          <w:rFonts w:ascii="Times New Roman" w:hAnsi="Times New Roman"/>
          <w:sz w:val="24"/>
          <w:szCs w:val="24"/>
        </w:rPr>
        <w:t xml:space="preserve">Sakarā ar to, ka Nemetālisko minerālu ražošanas nozare ir vērtējama plašāk kā to iedala pēc NACE 2 klasifikācijas, lūdzam precizēt Biedrības atbilstības vērtēšanu, ja Projekta iesniedzējs sniedz projektu Kvalitātes kritērija Nr.1 nozarē – </w:t>
      </w:r>
      <w:r w:rsidRPr="00C04EC1">
        <w:rPr>
          <w:rFonts w:ascii="Times New Roman" w:hAnsi="Times New Roman"/>
          <w:b/>
          <w:sz w:val="24"/>
          <w:szCs w:val="24"/>
        </w:rPr>
        <w:t>Nemetālisko minerālu ražošana</w:t>
      </w:r>
      <w:r w:rsidRPr="00C04EC1">
        <w:rPr>
          <w:rFonts w:ascii="Times New Roman" w:hAnsi="Times New Roman"/>
          <w:b/>
          <w:bCs/>
          <w:sz w:val="24"/>
          <w:szCs w:val="24"/>
        </w:rPr>
        <w:t>:</w:t>
      </w:r>
    </w:p>
    <w:p w:rsidR="00B40D1F" w:rsidRPr="00C04EC1" w:rsidRDefault="00B40D1F" w:rsidP="00B40D1F">
      <w:pPr>
        <w:pStyle w:val="ListParagraph"/>
        <w:spacing w:after="0" w:line="240" w:lineRule="auto"/>
        <w:rPr>
          <w:rFonts w:ascii="Times New Roman" w:hAnsi="Times New Roman"/>
          <w:b/>
          <w:bCs/>
          <w:sz w:val="24"/>
          <w:szCs w:val="24"/>
        </w:rPr>
      </w:pPr>
    </w:p>
    <w:p w:rsidR="00B40D1F" w:rsidRPr="00C04EC1" w:rsidRDefault="00B40D1F" w:rsidP="002A0731">
      <w:pPr>
        <w:pStyle w:val="ListParagraph"/>
        <w:numPr>
          <w:ilvl w:val="0"/>
          <w:numId w:val="20"/>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Akmeņu, smilšu un māla ieguve (B sadaļa 08.1 grupa) tiks klasificēti kā atbilstoši „Nemetālisko minerālu ražošana” nozarei (pārsvarā šīs nozares komersanti veic tālāku pārstrādi)?</w:t>
      </w:r>
    </w:p>
    <w:p w:rsidR="00B40D1F" w:rsidRPr="00B40D1F" w:rsidRDefault="00B40D1F" w:rsidP="002A0731">
      <w:pPr>
        <w:ind w:left="360"/>
        <w:jc w:val="both"/>
        <w:rPr>
          <w:rFonts w:ascii="Times New Roman" w:hAnsi="Times New Roman"/>
          <w:sz w:val="24"/>
          <w:szCs w:val="24"/>
        </w:rPr>
      </w:pPr>
      <w:r w:rsidRPr="00B40D1F">
        <w:rPr>
          <w:rFonts w:ascii="Times New Roman" w:hAnsi="Times New Roman"/>
          <w:b/>
          <w:bCs/>
          <w:sz w:val="24"/>
          <w:szCs w:val="24"/>
        </w:rPr>
        <w:t xml:space="preserve">Atbilde: </w:t>
      </w:r>
      <w:r w:rsidRPr="00B40D1F">
        <w:rPr>
          <w:rFonts w:ascii="Times New Roman" w:hAnsi="Times New Roman"/>
          <w:sz w:val="24"/>
          <w:szCs w:val="24"/>
        </w:rPr>
        <w:t>Jā.</w:t>
      </w:r>
    </w:p>
    <w:p w:rsidR="00B40D1F" w:rsidRPr="00C04EC1" w:rsidRDefault="00B40D1F" w:rsidP="002A0731">
      <w:pPr>
        <w:jc w:val="both"/>
        <w:rPr>
          <w:rFonts w:ascii="Times New Roman" w:hAnsi="Times New Roman"/>
          <w:sz w:val="24"/>
          <w:szCs w:val="24"/>
        </w:rPr>
      </w:pPr>
    </w:p>
    <w:p w:rsidR="00B40D1F" w:rsidRPr="00C04EC1" w:rsidRDefault="00B40D1F" w:rsidP="002A0731">
      <w:pPr>
        <w:pStyle w:val="ListParagraph"/>
        <w:numPr>
          <w:ilvl w:val="0"/>
          <w:numId w:val="20"/>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Citur neklasificēta ieguves rūpniecība un karjeru izstrāde (B sadaļa 08.9 grupa) tiks klasificēti kā atbilstoši „Nemetālisko minerālu ražošana” nozarei (pārsvarā šīs nozares komersanti veic tālāku pārstrādi)?</w:t>
      </w:r>
    </w:p>
    <w:p w:rsidR="00B40D1F" w:rsidRPr="00B40D1F" w:rsidRDefault="00B40D1F" w:rsidP="002A0731">
      <w:pPr>
        <w:ind w:left="360"/>
        <w:jc w:val="both"/>
        <w:rPr>
          <w:rFonts w:ascii="Times New Roman" w:hAnsi="Times New Roman"/>
          <w:sz w:val="24"/>
          <w:szCs w:val="24"/>
        </w:rPr>
      </w:pPr>
      <w:r w:rsidRPr="00B40D1F">
        <w:rPr>
          <w:rFonts w:ascii="Times New Roman" w:hAnsi="Times New Roman"/>
          <w:b/>
          <w:bCs/>
          <w:sz w:val="24"/>
          <w:szCs w:val="24"/>
        </w:rPr>
        <w:t xml:space="preserve">Atbilde: </w:t>
      </w:r>
      <w:r w:rsidRPr="00B40D1F">
        <w:rPr>
          <w:rFonts w:ascii="Times New Roman" w:hAnsi="Times New Roman"/>
          <w:sz w:val="24"/>
          <w:szCs w:val="24"/>
        </w:rPr>
        <w:t>Jā, ja vien ieguves rūpniecība ir domāta kā izejvielu ieguve ražošanas procesam, kurš atbilst NACE 2 red. C 23 “Nemetālisko minerālu izstrādājumu ražošana</w:t>
      </w:r>
    </w:p>
    <w:p w:rsidR="00B40D1F" w:rsidRPr="00C04EC1" w:rsidRDefault="00B40D1F" w:rsidP="002A0731">
      <w:pPr>
        <w:jc w:val="both"/>
        <w:rPr>
          <w:rFonts w:ascii="Times New Roman" w:hAnsi="Times New Roman"/>
          <w:sz w:val="24"/>
          <w:szCs w:val="24"/>
        </w:rPr>
      </w:pPr>
    </w:p>
    <w:p w:rsidR="00B40D1F" w:rsidRPr="00C04EC1" w:rsidRDefault="00B40D1F" w:rsidP="002A0731">
      <w:pPr>
        <w:pStyle w:val="ListParagraph"/>
        <w:numPr>
          <w:ilvl w:val="0"/>
          <w:numId w:val="20"/>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Plastmasas izstrādājumu ražošana (C sadaļa 22.2 grupa) tiks klasificēti kā atbilstoši „Nemetālisko minerālu ražošana” nozarei?</w:t>
      </w:r>
    </w:p>
    <w:p w:rsidR="00B40D1F" w:rsidRPr="00B40D1F" w:rsidRDefault="00B40D1F" w:rsidP="002A0731">
      <w:pPr>
        <w:ind w:left="360"/>
        <w:jc w:val="both"/>
        <w:rPr>
          <w:rFonts w:ascii="Times New Roman" w:hAnsi="Times New Roman"/>
          <w:sz w:val="24"/>
          <w:szCs w:val="24"/>
        </w:rPr>
      </w:pPr>
      <w:r w:rsidRPr="00B40D1F">
        <w:rPr>
          <w:rFonts w:ascii="Times New Roman" w:hAnsi="Times New Roman"/>
          <w:b/>
          <w:bCs/>
          <w:sz w:val="24"/>
          <w:szCs w:val="24"/>
        </w:rPr>
        <w:t xml:space="preserve">Atbilde: </w:t>
      </w:r>
      <w:r w:rsidRPr="00B40D1F">
        <w:rPr>
          <w:rFonts w:ascii="Times New Roman" w:hAnsi="Times New Roman"/>
          <w:sz w:val="24"/>
          <w:szCs w:val="24"/>
        </w:rPr>
        <w:t>Nē.</w:t>
      </w:r>
    </w:p>
    <w:p w:rsidR="00B40D1F" w:rsidRPr="00C04EC1" w:rsidRDefault="00B40D1F" w:rsidP="002A0731">
      <w:pPr>
        <w:jc w:val="both"/>
        <w:rPr>
          <w:rFonts w:ascii="Times New Roman" w:hAnsi="Times New Roman"/>
          <w:sz w:val="24"/>
          <w:szCs w:val="24"/>
        </w:rPr>
      </w:pPr>
    </w:p>
    <w:p w:rsidR="00B40D1F" w:rsidRPr="00C04EC1" w:rsidRDefault="00B40D1F" w:rsidP="002A0731">
      <w:pPr>
        <w:pStyle w:val="ListParagraph"/>
        <w:numPr>
          <w:ilvl w:val="0"/>
          <w:numId w:val="20"/>
        </w:numPr>
        <w:spacing w:after="0" w:line="240" w:lineRule="auto"/>
        <w:jc w:val="both"/>
        <w:rPr>
          <w:rFonts w:ascii="Times New Roman" w:hAnsi="Times New Roman"/>
          <w:sz w:val="24"/>
          <w:szCs w:val="24"/>
        </w:rPr>
      </w:pPr>
      <w:r w:rsidRPr="00C04EC1">
        <w:rPr>
          <w:rFonts w:ascii="Times New Roman" w:hAnsi="Times New Roman"/>
          <w:sz w:val="24"/>
          <w:szCs w:val="24"/>
        </w:rPr>
        <w:t>Vai Projekta iesniedzēja biedri, kas saskaņā ar NACE 2 pārstāv nozari – Atkritumu savākšana, apstrāde un izvietošana; materiālu pārstrāde (E sadaļa 38 grupa) tiks klasificēti kā atbilstoši „Nemetālisko minerālu ražošana” nozarei?</w:t>
      </w:r>
    </w:p>
    <w:p w:rsidR="00B40D1F" w:rsidRPr="00B40D1F" w:rsidRDefault="00B40D1F" w:rsidP="002A0731">
      <w:pPr>
        <w:ind w:left="360"/>
        <w:jc w:val="both"/>
        <w:rPr>
          <w:rFonts w:ascii="Times New Roman" w:hAnsi="Times New Roman"/>
          <w:sz w:val="24"/>
          <w:szCs w:val="24"/>
        </w:rPr>
      </w:pPr>
      <w:r w:rsidRPr="00B40D1F">
        <w:rPr>
          <w:rFonts w:ascii="Times New Roman" w:hAnsi="Times New Roman"/>
          <w:b/>
          <w:bCs/>
          <w:sz w:val="24"/>
          <w:szCs w:val="24"/>
        </w:rPr>
        <w:t xml:space="preserve">Atbilde: </w:t>
      </w:r>
      <w:r w:rsidRPr="00B40D1F">
        <w:rPr>
          <w:rFonts w:ascii="Times New Roman" w:hAnsi="Times New Roman"/>
          <w:sz w:val="24"/>
          <w:szCs w:val="24"/>
        </w:rPr>
        <w:t>Jā, ja vien atkritumu savākšana, apstrāde un izvietošana ir saistīta ar ražošanas procesu, kurš atbilst NACE 2 red. C 23 “Nemetālisko minerālu izstrādājumu ražošana”</w:t>
      </w:r>
    </w:p>
    <w:p w:rsidR="005F32AD" w:rsidRPr="00C04EC1" w:rsidRDefault="005F32AD" w:rsidP="00C04EC1">
      <w:pPr>
        <w:pStyle w:val="ListParagraph"/>
        <w:spacing w:after="0" w:line="240" w:lineRule="auto"/>
        <w:ind w:left="1080"/>
        <w:jc w:val="both"/>
        <w:rPr>
          <w:rFonts w:ascii="Times New Roman" w:hAnsi="Times New Roman"/>
          <w:b/>
          <w:sz w:val="24"/>
          <w:szCs w:val="24"/>
          <w:u w:val="single"/>
        </w:rPr>
      </w:pPr>
    </w:p>
    <w:p w:rsidR="005F32AD" w:rsidRPr="00C04EC1" w:rsidRDefault="005F32AD" w:rsidP="00B40D1F">
      <w:pPr>
        <w:pStyle w:val="ListParagraph"/>
        <w:spacing w:after="0" w:line="240" w:lineRule="auto"/>
        <w:ind w:left="1440"/>
        <w:rPr>
          <w:rFonts w:ascii="Times New Roman" w:hAnsi="Times New Roman"/>
          <w:b/>
          <w:sz w:val="24"/>
          <w:szCs w:val="24"/>
          <w:u w:val="single"/>
        </w:rPr>
      </w:pPr>
      <w:r w:rsidRPr="00C04EC1">
        <w:rPr>
          <w:rFonts w:ascii="Times New Roman" w:hAnsi="Times New Roman"/>
          <w:b/>
          <w:sz w:val="24"/>
          <w:szCs w:val="24"/>
          <w:u w:val="single"/>
        </w:rPr>
        <w:t>Projektu īstenošanas (izmaksu attiecināmības) jautājumi</w:t>
      </w:r>
    </w:p>
    <w:p w:rsidR="000B6233" w:rsidRPr="00C04EC1" w:rsidRDefault="000B6233" w:rsidP="00C04EC1">
      <w:pPr>
        <w:pStyle w:val="ListParagraph"/>
        <w:spacing w:after="0" w:line="240" w:lineRule="auto"/>
        <w:ind w:left="1080"/>
        <w:jc w:val="both"/>
        <w:rPr>
          <w:rFonts w:ascii="Times New Roman" w:hAnsi="Times New Roman"/>
          <w:sz w:val="24"/>
          <w:szCs w:val="24"/>
        </w:rPr>
      </w:pPr>
    </w:p>
    <w:p w:rsidR="00B40D1F" w:rsidRDefault="000B6233" w:rsidP="00C04EC1">
      <w:pPr>
        <w:pStyle w:val="ListParagraph"/>
        <w:numPr>
          <w:ilvl w:val="0"/>
          <w:numId w:val="13"/>
        </w:numPr>
        <w:spacing w:after="0" w:line="240" w:lineRule="auto"/>
        <w:jc w:val="both"/>
        <w:rPr>
          <w:rFonts w:ascii="Times New Roman" w:hAnsi="Times New Roman"/>
          <w:sz w:val="24"/>
          <w:szCs w:val="24"/>
        </w:rPr>
      </w:pPr>
      <w:r w:rsidRPr="00C04EC1">
        <w:rPr>
          <w:rFonts w:ascii="Times New Roman" w:hAnsi="Times New Roman"/>
          <w:sz w:val="24"/>
          <w:szCs w:val="24"/>
        </w:rPr>
        <w:t>Noteikumu punktā 23.1.1.2. ir teikts, ka pasniedzēju un nodarbināto ceļa (transporta) izdevumi ir attiecināmas izmaksas. Vai apmācību norise var būt arī ārpus Latvijas? Tātad, vai nodarbināto ceļa (transporta) izdevumi ir attiecināmas izmaksas</w:t>
      </w:r>
      <w:r w:rsidR="00B40D1F">
        <w:rPr>
          <w:rFonts w:ascii="Times New Roman" w:hAnsi="Times New Roman"/>
          <w:sz w:val="24"/>
          <w:szCs w:val="24"/>
        </w:rPr>
        <w:t>, ja viņi dodas ārpus Latvijas?</w:t>
      </w:r>
    </w:p>
    <w:p w:rsidR="005F32AD" w:rsidRPr="00B40D1F" w:rsidRDefault="000B6233" w:rsidP="00B40D1F">
      <w:pPr>
        <w:jc w:val="both"/>
        <w:rPr>
          <w:rFonts w:ascii="Times New Roman" w:hAnsi="Times New Roman"/>
          <w:sz w:val="24"/>
          <w:szCs w:val="24"/>
        </w:rPr>
      </w:pPr>
      <w:r w:rsidRPr="00B40D1F">
        <w:rPr>
          <w:rFonts w:ascii="Times New Roman" w:hAnsi="Times New Roman"/>
          <w:b/>
          <w:bCs/>
          <w:sz w:val="24"/>
          <w:szCs w:val="24"/>
        </w:rPr>
        <w:t xml:space="preserve">Atbilde: </w:t>
      </w:r>
      <w:r w:rsidRPr="00B40D1F">
        <w:rPr>
          <w:rFonts w:ascii="Times New Roman" w:hAnsi="Times New Roman"/>
          <w:sz w:val="24"/>
          <w:szCs w:val="24"/>
        </w:rPr>
        <w:t>Jā, apmācību norise var notikt ārpus Latvijas un nodarbināto ceļa (transporta) izdevumi šajā gadījumā ir uzskatāmas par attiecināmām izmaksām.</w:t>
      </w:r>
    </w:p>
    <w:p w:rsidR="005F32AD" w:rsidRPr="00C04EC1" w:rsidRDefault="005F32AD" w:rsidP="00C04EC1">
      <w:pPr>
        <w:pStyle w:val="ListParagraph"/>
        <w:spacing w:after="0" w:line="240" w:lineRule="auto"/>
        <w:jc w:val="both"/>
        <w:rPr>
          <w:rFonts w:ascii="Times New Roman" w:hAnsi="Times New Roman"/>
          <w:sz w:val="24"/>
          <w:szCs w:val="24"/>
        </w:rPr>
      </w:pPr>
    </w:p>
    <w:p w:rsidR="000B6233" w:rsidRPr="00C04EC1" w:rsidRDefault="000B6233" w:rsidP="00C04EC1">
      <w:pPr>
        <w:pStyle w:val="ListParagraph"/>
        <w:numPr>
          <w:ilvl w:val="0"/>
          <w:numId w:val="13"/>
        </w:numPr>
        <w:spacing w:after="0" w:line="240" w:lineRule="auto"/>
        <w:jc w:val="both"/>
        <w:rPr>
          <w:rFonts w:ascii="Times New Roman" w:hAnsi="Times New Roman"/>
          <w:sz w:val="24"/>
          <w:szCs w:val="24"/>
        </w:rPr>
      </w:pPr>
      <w:r w:rsidRPr="00C04EC1">
        <w:rPr>
          <w:rFonts w:ascii="Times New Roman" w:hAnsi="Times New Roman"/>
          <w:sz w:val="24"/>
          <w:szCs w:val="24"/>
        </w:rPr>
        <w:t>23.1.1.1. punktā ir teikts, ka tieši attiecināmas izmaksas ir:  kopējā pasniedzēju darba</w:t>
      </w:r>
      <w:r w:rsidRPr="00C04EC1">
        <w:rPr>
          <w:rFonts w:ascii="Times New Roman" w:hAnsi="Times New Roman"/>
          <w:b/>
          <w:bCs/>
          <w:sz w:val="24"/>
          <w:szCs w:val="24"/>
        </w:rPr>
        <w:t xml:space="preserve"> </w:t>
      </w:r>
      <w:r w:rsidRPr="00C04EC1">
        <w:rPr>
          <w:rFonts w:ascii="Times New Roman" w:hAnsi="Times New Roman"/>
          <w:sz w:val="24"/>
          <w:szCs w:val="24"/>
        </w:rPr>
        <w:t>samaksa par darba stundām, kas nepārsniedz apmācību kursu ilgumu (tai skaitā darba devēja valsts sociālās apdr</w:t>
      </w:r>
      <w:r w:rsidR="005F32AD" w:rsidRPr="00C04EC1">
        <w:rPr>
          <w:rFonts w:ascii="Times New Roman" w:hAnsi="Times New Roman"/>
          <w:sz w:val="24"/>
          <w:szCs w:val="24"/>
        </w:rPr>
        <w:t xml:space="preserve">ošināšanas obligātās iemaksas). </w:t>
      </w:r>
      <w:r w:rsidRPr="00C04EC1">
        <w:rPr>
          <w:rFonts w:ascii="Times New Roman" w:hAnsi="Times New Roman"/>
          <w:sz w:val="24"/>
          <w:szCs w:val="24"/>
        </w:rPr>
        <w:t xml:space="preserve">Noteikumu 23.2.1.1. punktā ir teikts, ka netieši attiecināmas izmaksas ir: apmācībām izmantojamo mācību materiālu izmaksas (drukāti vai audiovizuāli materiāli, kuri pēc apmācību beigām paliek projektā apmācīto nodarbināto īpašumā). Ja šo izmaksu summa pārsniedz 50 </w:t>
      </w:r>
      <w:r w:rsidRPr="00C04EC1">
        <w:rPr>
          <w:rFonts w:ascii="Times New Roman" w:hAnsi="Times New Roman"/>
          <w:i/>
          <w:iCs/>
          <w:sz w:val="24"/>
          <w:szCs w:val="24"/>
        </w:rPr>
        <w:t>euro</w:t>
      </w:r>
      <w:r w:rsidRPr="00C04EC1">
        <w:rPr>
          <w:rFonts w:ascii="Times New Roman" w:hAnsi="Times New Roman"/>
          <w:sz w:val="24"/>
          <w:szCs w:val="24"/>
        </w:rPr>
        <w:t xml:space="preserve"> uz vienu nodarbināto, tā </w:t>
      </w:r>
      <w:r w:rsidRPr="00C04EC1">
        <w:rPr>
          <w:rFonts w:ascii="Times New Roman" w:hAnsi="Times New Roman"/>
          <w:sz w:val="24"/>
          <w:szCs w:val="24"/>
        </w:rPr>
        <w:lastRenderedPageBreak/>
        <w:t>jāsaskaņo ar sadarbības iestādi, sni</w:t>
      </w:r>
      <w:r w:rsidR="005F32AD" w:rsidRPr="00C04EC1">
        <w:rPr>
          <w:rFonts w:ascii="Times New Roman" w:hAnsi="Times New Roman"/>
          <w:sz w:val="24"/>
          <w:szCs w:val="24"/>
        </w:rPr>
        <w:t xml:space="preserve">edzot pamatojumu par lietderību. </w:t>
      </w:r>
      <w:r w:rsidRPr="00C04EC1">
        <w:rPr>
          <w:rFonts w:ascii="Times New Roman" w:hAnsi="Times New Roman"/>
          <w:sz w:val="24"/>
          <w:szCs w:val="24"/>
        </w:rPr>
        <w:t>No šiem punktiem saprotam, ka neskatoties uz to, ka mērķis ir veicināt inovāciju ieviešanu, un, ja esam konstatējuši, ka kāds no šādiem inovāciju kursiem kādai konkrētai nozarei nav izstrādāts, šī projekta ietvaros jaunu mācību kursu (piemēram, pieejamu tiešsaistē) izstrāde nav attiecināmas izmaksas (kursu nevar izstrādāt). Vai pareizi?</w:t>
      </w:r>
      <w:r w:rsidR="005F32AD" w:rsidRPr="00C04EC1">
        <w:rPr>
          <w:rFonts w:ascii="Times New Roman" w:hAnsi="Times New Roman"/>
          <w:sz w:val="24"/>
          <w:szCs w:val="24"/>
        </w:rPr>
        <w:t xml:space="preserve"> </w:t>
      </w:r>
      <w:r w:rsidRPr="00C04EC1">
        <w:rPr>
          <w:rFonts w:ascii="Times New Roman" w:hAnsi="Times New Roman"/>
          <w:sz w:val="24"/>
          <w:szCs w:val="24"/>
        </w:rPr>
        <w:t>Vai arī  atbilstoši 23.2.1.1. punktam jāsaskaņo ar sadarbības ie</w:t>
      </w:r>
      <w:r w:rsidR="005F32AD" w:rsidRPr="00C04EC1">
        <w:rPr>
          <w:rFonts w:ascii="Times New Roman" w:hAnsi="Times New Roman"/>
          <w:sz w:val="24"/>
          <w:szCs w:val="24"/>
        </w:rPr>
        <w:t>stādi "j</w:t>
      </w:r>
      <w:r w:rsidRPr="00C04EC1">
        <w:rPr>
          <w:rFonts w:ascii="Times New Roman" w:hAnsi="Times New Roman"/>
          <w:sz w:val="24"/>
          <w:szCs w:val="24"/>
        </w:rPr>
        <w:t xml:space="preserve">a šo izmaksu summa pārsniedz 50 </w:t>
      </w:r>
      <w:r w:rsidRPr="00C04EC1">
        <w:rPr>
          <w:rFonts w:ascii="Times New Roman" w:hAnsi="Times New Roman"/>
          <w:i/>
          <w:iCs/>
          <w:sz w:val="24"/>
          <w:szCs w:val="24"/>
        </w:rPr>
        <w:t>euro</w:t>
      </w:r>
      <w:r w:rsidRPr="00C04EC1">
        <w:rPr>
          <w:rFonts w:ascii="Times New Roman" w:hAnsi="Times New Roman"/>
          <w:sz w:val="24"/>
          <w:szCs w:val="24"/>
        </w:rPr>
        <w:t xml:space="preserve"> uz vienu nodarbināto, tā jāsaskaņo ar sadarbības iestādi, sni</w:t>
      </w:r>
      <w:r w:rsidR="005F32AD" w:rsidRPr="00C04EC1">
        <w:rPr>
          <w:rFonts w:ascii="Times New Roman" w:hAnsi="Times New Roman"/>
          <w:sz w:val="24"/>
          <w:szCs w:val="24"/>
        </w:rPr>
        <w:t>edzot pamatojumu par lietderību”</w:t>
      </w:r>
      <w:r w:rsidRPr="00C04EC1">
        <w:rPr>
          <w:rFonts w:ascii="Times New Roman" w:hAnsi="Times New Roman"/>
          <w:sz w:val="24"/>
          <w:szCs w:val="24"/>
        </w:rPr>
        <w:t>.</w:t>
      </w:r>
    </w:p>
    <w:p w:rsidR="000B6233" w:rsidRPr="00B40D1F" w:rsidRDefault="000B6233" w:rsidP="00B40D1F">
      <w:pPr>
        <w:jc w:val="both"/>
        <w:rPr>
          <w:rFonts w:ascii="Times New Roman" w:hAnsi="Times New Roman"/>
          <w:sz w:val="24"/>
          <w:szCs w:val="24"/>
        </w:rPr>
      </w:pPr>
      <w:r w:rsidRPr="00B40D1F">
        <w:rPr>
          <w:rFonts w:ascii="Times New Roman" w:hAnsi="Times New Roman"/>
          <w:b/>
          <w:bCs/>
          <w:sz w:val="24"/>
          <w:szCs w:val="24"/>
        </w:rPr>
        <w:t>Atbilde:</w:t>
      </w:r>
      <w:r w:rsidRPr="00B40D1F">
        <w:rPr>
          <w:rFonts w:ascii="Times New Roman" w:hAnsi="Times New Roman"/>
          <w:sz w:val="24"/>
          <w:szCs w:val="24"/>
        </w:rPr>
        <w:t xml:space="preserve"> Ja jauna apmācības kursa izstrāde ir iekļauta pasniedzēja darba samaksas stundas likmē, tad šādā gadījumā izmaksas tiks uzskatītas par attiecināmām atbilstoši Ministru kabineta noteikumu Nr.617 23.1.1.1.apakšpunktam. Lai nodrošinātu attiecināmību, kursu izstrāde ir atļaujama, bet ar konkrētu mērķi tos nodrošināt noteiktiem komersantiem. Gala labuma guvējam jebkurā gadījumā ir jābūt komersantam nevis apmācību sniedzējam. Jā, saskaņā ar Ministru Kabineta noteikumu Nr.617 23.2.1.1.apakšpunkts nosaka, ka gadījumā, ja apmācībām izmantojamo mācību materiālu izmaksu summa uz vienu nodarbināto pārsniedz 50 EUR, tā ir jāsaskaņo ar CFLA, sniedzot pamatojumu par tā lietderību.</w:t>
      </w:r>
    </w:p>
    <w:p w:rsidR="005F32AD" w:rsidRPr="00C04EC1" w:rsidRDefault="005F32AD" w:rsidP="00C04EC1">
      <w:pPr>
        <w:pStyle w:val="ListParagraph"/>
        <w:spacing w:after="0" w:line="240" w:lineRule="auto"/>
        <w:jc w:val="both"/>
        <w:rPr>
          <w:rFonts w:ascii="Times New Roman" w:hAnsi="Times New Roman"/>
          <w:sz w:val="24"/>
          <w:szCs w:val="24"/>
        </w:rPr>
      </w:pPr>
    </w:p>
    <w:p w:rsidR="000B6233" w:rsidRPr="00C04EC1" w:rsidRDefault="005F32AD" w:rsidP="00C04EC1">
      <w:pPr>
        <w:pStyle w:val="ListParagraph"/>
        <w:numPr>
          <w:ilvl w:val="0"/>
          <w:numId w:val="13"/>
        </w:numPr>
        <w:spacing w:after="0" w:line="240" w:lineRule="auto"/>
        <w:jc w:val="both"/>
        <w:rPr>
          <w:rFonts w:ascii="Times New Roman" w:hAnsi="Times New Roman"/>
          <w:sz w:val="24"/>
          <w:szCs w:val="24"/>
        </w:rPr>
      </w:pPr>
      <w:r w:rsidRPr="00C04EC1">
        <w:rPr>
          <w:rFonts w:ascii="Times New Roman" w:hAnsi="Times New Roman"/>
          <w:sz w:val="24"/>
          <w:szCs w:val="24"/>
        </w:rPr>
        <w:t>V</w:t>
      </w:r>
      <w:r w:rsidR="000B6233" w:rsidRPr="00C04EC1">
        <w:rPr>
          <w:rFonts w:ascii="Times New Roman" w:hAnsi="Times New Roman"/>
          <w:sz w:val="24"/>
          <w:szCs w:val="24"/>
        </w:rPr>
        <w:t>ai kursi var būt e-kursu veidā (pilnībā, daļēji)? Vai ir kādi ierobežojumi kursu apjomam (akadēmisko stundu skaitam)?</w:t>
      </w:r>
    </w:p>
    <w:p w:rsidR="000B6233" w:rsidRPr="00B40D1F" w:rsidRDefault="000B6233" w:rsidP="00B40D1F">
      <w:pPr>
        <w:jc w:val="both"/>
        <w:rPr>
          <w:rFonts w:ascii="Times New Roman" w:hAnsi="Times New Roman"/>
          <w:sz w:val="24"/>
          <w:szCs w:val="24"/>
        </w:rPr>
      </w:pPr>
      <w:r w:rsidRPr="00B40D1F">
        <w:rPr>
          <w:rFonts w:ascii="Times New Roman" w:hAnsi="Times New Roman"/>
          <w:b/>
          <w:bCs/>
          <w:sz w:val="24"/>
          <w:szCs w:val="24"/>
        </w:rPr>
        <w:t xml:space="preserve">Atbilde: </w:t>
      </w:r>
      <w:r w:rsidRPr="00B40D1F">
        <w:rPr>
          <w:rFonts w:ascii="Times New Roman" w:hAnsi="Times New Roman"/>
          <w:sz w:val="24"/>
          <w:szCs w:val="24"/>
        </w:rPr>
        <w:t>Kursi var būt arī e-kursu veidā. Līdzīgi kā tālmācību gadījumos, arī e-kursu apmācības gadījumā tiek sūtīta pieeja (caur reģistrāciju). Tas nozīmē, ka šajā gadījumā nebūs reģistrācija ar parakstu, bet gan reģistrācija caur sistēmu. Kā pamatojošais dokuments būs izdruka no sistēmas un izsniegto sertifikātu saraksts. Papildus tam rādītājā – personas, kas ir saņēmušas nefinansiālu atbalstu, tiks ieskaitītas tikai tās personas, kas ir saņēmušas sertifikātu par apmācību pabeigšanu. Par atbalstāmām tālmācības apmācībām tiks uzskatītas tāds apmācību kurss, kuru programmā būs paredzēts gala pārbaudījums pēc kursu pabeigšanas un izsniegts atbilstošs sertifikāts. Kursu apjomam nav noteikts ierobežojums.</w:t>
      </w:r>
    </w:p>
    <w:p w:rsidR="00E86892" w:rsidRPr="00C04EC1" w:rsidRDefault="00E86892" w:rsidP="00C04EC1">
      <w:pPr>
        <w:pStyle w:val="ListParagraph"/>
        <w:spacing w:after="0" w:line="240" w:lineRule="auto"/>
        <w:jc w:val="both"/>
        <w:rPr>
          <w:rFonts w:ascii="Times New Roman" w:hAnsi="Times New Roman"/>
          <w:sz w:val="24"/>
          <w:szCs w:val="24"/>
        </w:rPr>
      </w:pPr>
    </w:p>
    <w:p w:rsidR="00FD2322" w:rsidRPr="00B40D1F" w:rsidRDefault="00B40D1F" w:rsidP="0035756E">
      <w:pPr>
        <w:pStyle w:val="ListParagraph"/>
        <w:numPr>
          <w:ilvl w:val="0"/>
          <w:numId w:val="13"/>
        </w:numPr>
        <w:spacing w:after="0" w:line="240" w:lineRule="auto"/>
        <w:jc w:val="both"/>
        <w:rPr>
          <w:rFonts w:ascii="Times New Roman" w:hAnsi="Times New Roman"/>
          <w:sz w:val="24"/>
          <w:szCs w:val="24"/>
        </w:rPr>
      </w:pPr>
      <w:r w:rsidRPr="00B40D1F">
        <w:rPr>
          <w:rFonts w:ascii="Times New Roman" w:hAnsi="Times New Roman"/>
          <w:sz w:val="24"/>
          <w:szCs w:val="24"/>
        </w:rPr>
        <w:t>Vērtēšanas kritērijos ir frāze:  "Komersantu (un citu saimnieciskās darbības veicēju) skaits."</w:t>
      </w:r>
      <w:r>
        <w:rPr>
          <w:rFonts w:ascii="Times New Roman" w:hAnsi="Times New Roman"/>
          <w:sz w:val="24"/>
          <w:szCs w:val="24"/>
        </w:rPr>
        <w:t xml:space="preserve"> </w:t>
      </w:r>
      <w:r w:rsidR="00FD2322" w:rsidRPr="00B40D1F">
        <w:rPr>
          <w:rFonts w:ascii="Times New Roman" w:hAnsi="Times New Roman"/>
          <w:bCs/>
          <w:sz w:val="24"/>
          <w:szCs w:val="24"/>
        </w:rPr>
        <w:t>Kas ir domāts ar "citu saimnieciskās darbības veicēju" - pašnodarbinātie?</w:t>
      </w:r>
    </w:p>
    <w:p w:rsidR="00FD2322" w:rsidRDefault="00C04EC1" w:rsidP="002A0731">
      <w:pPr>
        <w:jc w:val="both"/>
        <w:rPr>
          <w:rFonts w:ascii="Times New Roman" w:hAnsi="Times New Roman"/>
          <w:sz w:val="24"/>
          <w:szCs w:val="24"/>
        </w:rPr>
      </w:pPr>
      <w:r w:rsidRPr="00B40D1F">
        <w:rPr>
          <w:rFonts w:ascii="Times New Roman" w:hAnsi="Times New Roman"/>
          <w:b/>
          <w:bCs/>
          <w:sz w:val="24"/>
          <w:szCs w:val="24"/>
        </w:rPr>
        <w:t xml:space="preserve">Atbilde: </w:t>
      </w:r>
      <w:r w:rsidR="00B40D1F">
        <w:rPr>
          <w:rFonts w:ascii="Times New Roman" w:hAnsi="Times New Roman"/>
          <w:sz w:val="24"/>
          <w:szCs w:val="24"/>
        </w:rPr>
        <w:t>S</w:t>
      </w:r>
      <w:r w:rsidR="00FD2322" w:rsidRPr="00B40D1F">
        <w:rPr>
          <w:rFonts w:ascii="Times New Roman" w:hAnsi="Times New Roman"/>
          <w:sz w:val="24"/>
          <w:szCs w:val="24"/>
        </w:rPr>
        <w:t>kaidrojam, ka “citi saimnieciskās darbības veicēji” ir visi, kas VID reģistrējušies kā saimnieciskās darbības veicēji (t.sk., piemēram, pašnodarbinātas personas, biedrības u.c.).</w:t>
      </w:r>
    </w:p>
    <w:p w:rsidR="00B40D1F" w:rsidRPr="00B40D1F" w:rsidRDefault="00B40D1F" w:rsidP="0035756E">
      <w:pPr>
        <w:ind w:left="360"/>
        <w:jc w:val="both"/>
        <w:rPr>
          <w:rFonts w:ascii="Times New Roman" w:hAnsi="Times New Roman"/>
          <w:sz w:val="24"/>
          <w:szCs w:val="24"/>
        </w:rPr>
      </w:pPr>
    </w:p>
    <w:p w:rsidR="00C04EC1" w:rsidRPr="00C04EC1" w:rsidRDefault="00FD2322" w:rsidP="0035756E">
      <w:pPr>
        <w:pStyle w:val="ListParagraph"/>
        <w:numPr>
          <w:ilvl w:val="0"/>
          <w:numId w:val="13"/>
        </w:numPr>
        <w:spacing w:after="0" w:line="240" w:lineRule="auto"/>
        <w:jc w:val="both"/>
        <w:rPr>
          <w:rFonts w:ascii="Times New Roman" w:hAnsi="Times New Roman"/>
          <w:sz w:val="24"/>
          <w:szCs w:val="24"/>
        </w:rPr>
      </w:pPr>
      <w:r w:rsidRPr="00C04EC1">
        <w:rPr>
          <w:rFonts w:ascii="Times New Roman" w:hAnsi="Times New Roman"/>
          <w:sz w:val="24"/>
          <w:szCs w:val="24"/>
        </w:rPr>
        <w:t>"Projekta pieteikumā ir apliecināts, ka apmācības tiks sniegtas apmācību jomās, kas atbilst Viedās specializācijas stratēģijā noteiktajām jomām vai nozares identificētai jaunai konkurētspējas nišai"</w:t>
      </w:r>
      <w:r w:rsidR="00B40D1F">
        <w:rPr>
          <w:rFonts w:ascii="Times New Roman" w:hAnsi="Times New Roman"/>
          <w:sz w:val="24"/>
          <w:szCs w:val="24"/>
        </w:rPr>
        <w:t>.</w:t>
      </w:r>
      <w:r w:rsidR="00C04EC1" w:rsidRPr="00C04EC1">
        <w:rPr>
          <w:rFonts w:ascii="Times New Roman" w:hAnsi="Times New Roman"/>
          <w:sz w:val="24"/>
          <w:szCs w:val="24"/>
        </w:rPr>
        <w:t xml:space="preserve"> </w:t>
      </w:r>
      <w:r w:rsidRPr="00C04EC1">
        <w:rPr>
          <w:rFonts w:ascii="Times New Roman" w:hAnsi="Times New Roman"/>
          <w:sz w:val="24"/>
          <w:szCs w:val="24"/>
        </w:rPr>
        <w:t xml:space="preserve">Kur tīmeklī ir pieejama "viedās specializācijas stratēģija", tas ir, ko uzskatīt par pamata dokumentu? MK informatīvo ziņojumu </w:t>
      </w:r>
      <w:hyperlink r:id="rId7" w:history="1">
        <w:r w:rsidR="00B40D1F" w:rsidRPr="002D01AA">
          <w:rPr>
            <w:rStyle w:val="Hyperlink"/>
            <w:rFonts w:ascii="Times New Roman" w:hAnsi="Times New Roman"/>
            <w:sz w:val="24"/>
            <w:szCs w:val="24"/>
          </w:rPr>
          <w:t>http://tap.mk.gov.lv/mk/tap/?pid=40291636</w:t>
        </w:r>
      </w:hyperlink>
      <w:r w:rsidRPr="00C04EC1">
        <w:rPr>
          <w:rFonts w:ascii="Times New Roman" w:hAnsi="Times New Roman"/>
          <w:sz w:val="24"/>
          <w:szCs w:val="24"/>
        </w:rPr>
        <w:t>? Citu dokumentu?</w:t>
      </w:r>
    </w:p>
    <w:p w:rsidR="00C04EC1" w:rsidRDefault="00C04EC1" w:rsidP="002A0731">
      <w:pPr>
        <w:jc w:val="both"/>
        <w:rPr>
          <w:rFonts w:ascii="Times New Roman" w:hAnsi="Times New Roman"/>
          <w:sz w:val="24"/>
          <w:szCs w:val="24"/>
        </w:rPr>
      </w:pPr>
      <w:r w:rsidRPr="00B40D1F">
        <w:rPr>
          <w:rFonts w:ascii="Times New Roman" w:hAnsi="Times New Roman"/>
          <w:b/>
          <w:bCs/>
          <w:sz w:val="24"/>
          <w:szCs w:val="24"/>
        </w:rPr>
        <w:t xml:space="preserve">Atbilde: </w:t>
      </w:r>
      <w:r w:rsidRPr="00B40D1F">
        <w:rPr>
          <w:rFonts w:ascii="Times New Roman" w:hAnsi="Times New Roman"/>
          <w:sz w:val="24"/>
          <w:szCs w:val="24"/>
        </w:rPr>
        <w:t xml:space="preserve">jā, par pamata dokumentu var uzskatīt informatīvo ziņojumu “Par Viedās specializācijas stratēģijas izstrādi” (atrodams šeit: </w:t>
      </w:r>
      <w:hyperlink r:id="rId8" w:history="1">
        <w:r w:rsidR="00B40D1F" w:rsidRPr="00B40D1F">
          <w:rPr>
            <w:rStyle w:val="Hyperlink"/>
            <w:rFonts w:ascii="Times New Roman" w:hAnsi="Times New Roman"/>
            <w:sz w:val="24"/>
            <w:szCs w:val="24"/>
          </w:rPr>
          <w:t>http://tap.mk.gov.lv/mk/tap/?pid=40291636</w:t>
        </w:r>
      </w:hyperlink>
      <w:r w:rsidRPr="00B40D1F">
        <w:rPr>
          <w:rFonts w:ascii="Times New Roman" w:hAnsi="Times New Roman"/>
          <w:sz w:val="24"/>
          <w:szCs w:val="24"/>
        </w:rPr>
        <w:t xml:space="preserve">) , tāpat ir vērts iepazīties ar nesen VIAA publicētajiem Viedās specializācijas stratēģijas prioritāro jomu ekosistēmu aprakstiem (atrodami šeit: </w:t>
      </w:r>
      <w:hyperlink r:id="rId9" w:history="1">
        <w:r w:rsidR="00B40D1F" w:rsidRPr="002D01AA">
          <w:rPr>
            <w:rStyle w:val="Hyperlink"/>
            <w:rFonts w:ascii="Times New Roman" w:hAnsi="Times New Roman"/>
            <w:sz w:val="24"/>
            <w:szCs w:val="24"/>
          </w:rPr>
          <w:t>http://viaa.gov.lv/lat/zinatnes_inovacijas_progr/viedas_specializacijas_iev/vieda_specializacija_jaunumi/</w:t>
        </w:r>
      </w:hyperlink>
      <w:r w:rsidRPr="00B40D1F">
        <w:rPr>
          <w:rFonts w:ascii="Times New Roman" w:hAnsi="Times New Roman"/>
          <w:sz w:val="24"/>
          <w:szCs w:val="24"/>
        </w:rPr>
        <w:t xml:space="preserve">). </w:t>
      </w:r>
    </w:p>
    <w:p w:rsidR="00B40D1F" w:rsidRPr="00B40D1F" w:rsidRDefault="00B40D1F" w:rsidP="00B40D1F">
      <w:pPr>
        <w:ind w:left="360"/>
        <w:rPr>
          <w:rFonts w:ascii="Times New Roman" w:hAnsi="Times New Roman"/>
          <w:sz w:val="24"/>
          <w:szCs w:val="24"/>
        </w:rPr>
      </w:pPr>
    </w:p>
    <w:p w:rsidR="00FD2322" w:rsidRPr="00C04EC1" w:rsidRDefault="00FD2322" w:rsidP="00C04EC1">
      <w:pPr>
        <w:pStyle w:val="ListParagraph"/>
        <w:numPr>
          <w:ilvl w:val="0"/>
          <w:numId w:val="13"/>
        </w:numPr>
        <w:spacing w:after="0" w:line="240" w:lineRule="auto"/>
        <w:rPr>
          <w:rFonts w:ascii="Times New Roman" w:hAnsi="Times New Roman"/>
          <w:sz w:val="24"/>
          <w:szCs w:val="24"/>
        </w:rPr>
      </w:pPr>
      <w:r w:rsidRPr="00C04EC1">
        <w:rPr>
          <w:rFonts w:ascii="Times New Roman" w:hAnsi="Times New Roman"/>
          <w:sz w:val="24"/>
          <w:szCs w:val="24"/>
        </w:rPr>
        <w:t>Vai pareizi saprotam, ka papildus viedās specializācijas stratēģijā noteiktām jomām var būt arī citas, ja tās atbilst "nozares identificētai jaunai konkurētspējas nišai".  Vai un kā ir jāpamato "nozares identificētā jaunā konkurētspējas niša"?</w:t>
      </w:r>
    </w:p>
    <w:p w:rsidR="00FD2322" w:rsidRPr="00B40D1F" w:rsidRDefault="00C04EC1" w:rsidP="00B40D1F">
      <w:pPr>
        <w:ind w:left="360"/>
        <w:rPr>
          <w:rFonts w:ascii="Times New Roman" w:hAnsi="Times New Roman"/>
          <w:sz w:val="24"/>
          <w:szCs w:val="24"/>
        </w:rPr>
      </w:pPr>
      <w:r w:rsidRPr="00B40D1F">
        <w:rPr>
          <w:rFonts w:ascii="Times New Roman" w:hAnsi="Times New Roman"/>
          <w:b/>
          <w:bCs/>
          <w:sz w:val="24"/>
          <w:szCs w:val="24"/>
        </w:rPr>
        <w:t xml:space="preserve">Atbilde: </w:t>
      </w:r>
      <w:r w:rsidR="00FD2322" w:rsidRPr="00B40D1F">
        <w:rPr>
          <w:rFonts w:ascii="Times New Roman" w:hAnsi="Times New Roman"/>
          <w:sz w:val="24"/>
          <w:szCs w:val="24"/>
        </w:rPr>
        <w:t xml:space="preserve">Attiecībā uz jauno nozares identificēto konkurētspējas nišu, ir vispirms ir jāsaprot, ka tā patiešām neietilpst jau noteiktajās prioritārajās jomās (kas noteiktas pietiekami plašas jau šobrīd). Ja tomēr ir cita joma, tad tās pamatojumam ir jābūt argumentētam ar konkrētiem piemēriem (komersantiem, produktiem), sniedzot informāciju, kādā veidā notikusi tās identificēšana, iespējams, arī salīdzinājums ar ārvalstīm (ja attiecināms). Pamatojumam ir jāsniedz pārliecība, ka niša ir patiešām identificēta </w:t>
      </w:r>
      <w:r w:rsidR="00FD2322" w:rsidRPr="00B40D1F">
        <w:rPr>
          <w:rFonts w:ascii="Times New Roman" w:hAnsi="Times New Roman"/>
          <w:sz w:val="24"/>
          <w:szCs w:val="24"/>
          <w:u w:val="single"/>
        </w:rPr>
        <w:t>nozarē</w:t>
      </w:r>
      <w:r w:rsidR="00FD2322" w:rsidRPr="00B40D1F">
        <w:rPr>
          <w:rFonts w:ascii="Times New Roman" w:hAnsi="Times New Roman"/>
          <w:sz w:val="24"/>
          <w:szCs w:val="24"/>
        </w:rPr>
        <w:t>.</w:t>
      </w:r>
    </w:p>
    <w:p w:rsidR="00FD2322" w:rsidRPr="00C04EC1" w:rsidRDefault="00FD2322" w:rsidP="00C04EC1">
      <w:pPr>
        <w:rPr>
          <w:rFonts w:ascii="Times New Roman" w:hAnsi="Times New Roman"/>
          <w:sz w:val="24"/>
          <w:szCs w:val="24"/>
        </w:rPr>
      </w:pPr>
    </w:p>
    <w:p w:rsidR="00FD2322" w:rsidRPr="0035756E" w:rsidRDefault="00FD2322" w:rsidP="0035756E">
      <w:pPr>
        <w:pStyle w:val="ListParagraph"/>
        <w:numPr>
          <w:ilvl w:val="0"/>
          <w:numId w:val="13"/>
        </w:numPr>
        <w:spacing w:after="0" w:line="240" w:lineRule="auto"/>
        <w:contextualSpacing w:val="0"/>
        <w:jc w:val="both"/>
        <w:rPr>
          <w:rFonts w:ascii="Times New Roman" w:hAnsi="Times New Roman"/>
          <w:sz w:val="24"/>
          <w:szCs w:val="24"/>
        </w:rPr>
      </w:pPr>
      <w:r w:rsidRPr="0035756E">
        <w:rPr>
          <w:rFonts w:ascii="Times New Roman" w:hAnsi="Times New Roman"/>
          <w:b/>
          <w:bCs/>
          <w:sz w:val="24"/>
          <w:szCs w:val="24"/>
        </w:rPr>
        <w:t xml:space="preserve">MKN 48.1. punkts </w:t>
      </w:r>
      <w:r w:rsidRPr="0035756E">
        <w:rPr>
          <w:rFonts w:ascii="Times New Roman" w:hAnsi="Times New Roman"/>
          <w:sz w:val="24"/>
          <w:szCs w:val="24"/>
        </w:rPr>
        <w:t xml:space="preserve">nosaka, ka atbalstu gala labuma guvējam nepiešķir: </w:t>
      </w:r>
      <w:r w:rsidRPr="0035756E">
        <w:rPr>
          <w:rFonts w:ascii="Times New Roman" w:hAnsi="Times New Roman"/>
          <w:b/>
          <w:bCs/>
          <w:sz w:val="24"/>
          <w:szCs w:val="24"/>
        </w:rPr>
        <w:t>c)</w:t>
      </w:r>
      <w:r w:rsidRPr="0035756E">
        <w:rPr>
          <w:rFonts w:ascii="Times New Roman" w:hAnsi="Times New Roman"/>
          <w:sz w:val="24"/>
          <w:szCs w:val="24"/>
        </w:rPr>
        <w:t xml:space="preserve"> atbalstam darbībām, kas saistītas ar eksportu uz trešām valstīm vai dalībvalstīm, tas ir, atbalstam, kas tieši saistīts ar eksportētajiem daudzumiem, izplatīšanas tīkla izveidi un darbību vai citiem kārtējiem izdevumiem, kuri saistīti ar eksporta darbībām. </w:t>
      </w:r>
      <w:r w:rsidRPr="0035756E">
        <w:rPr>
          <w:rFonts w:ascii="Times New Roman" w:hAnsi="Times New Roman"/>
          <w:b/>
          <w:bCs/>
          <w:i/>
          <w:iCs/>
          <w:sz w:val="24"/>
          <w:szCs w:val="24"/>
        </w:rPr>
        <w:t>Apmācību projekta kontekstā, kas sakarā ar šo punktu mums ir jāpārbauda un ko īsti šis punkts liedz darīt – nedrīkst apmācīt uzņēmumus, kuri eksportē uz trešajām valstīm?; vai nedrīkst īstenot mācības, kurās iegūtās prasmes tiks izmantotas, lai eksportu uz trešām valstīm?; vai kas cits?</w:t>
      </w:r>
    </w:p>
    <w:p w:rsidR="00D67C45" w:rsidRPr="0035756E" w:rsidRDefault="002B40EF" w:rsidP="0035756E">
      <w:pPr>
        <w:ind w:left="360"/>
        <w:jc w:val="both"/>
        <w:rPr>
          <w:rFonts w:ascii="Times New Roman" w:eastAsia="Times New Roman" w:hAnsi="Times New Roman"/>
          <w:bCs/>
          <w:sz w:val="24"/>
          <w:szCs w:val="24"/>
          <w:lang w:eastAsia="lv-LV"/>
        </w:rPr>
      </w:pPr>
      <w:r w:rsidRPr="0035756E">
        <w:rPr>
          <w:rFonts w:ascii="Times New Roman" w:hAnsi="Times New Roman"/>
          <w:b/>
          <w:sz w:val="24"/>
          <w:szCs w:val="24"/>
        </w:rPr>
        <w:t>Atbilde:</w:t>
      </w:r>
      <w:r w:rsidRPr="0035756E">
        <w:rPr>
          <w:rFonts w:ascii="Times New Roman" w:hAnsi="Times New Roman"/>
          <w:sz w:val="24"/>
          <w:szCs w:val="24"/>
        </w:rPr>
        <w:t xml:space="preserve"> </w:t>
      </w:r>
      <w:r w:rsidR="00D67C45" w:rsidRPr="0035756E">
        <w:rPr>
          <w:rFonts w:ascii="Times New Roman" w:eastAsia="Times New Roman" w:hAnsi="Times New Roman"/>
          <w:bCs/>
          <w:sz w:val="24"/>
          <w:szCs w:val="24"/>
          <w:lang w:eastAsia="lv-LV"/>
        </w:rPr>
        <w:t>Biedrībai būtu lietderīgi informēt uzņēmumu, kas vēlas piedalīties specifiskā atbalsta mērķa pasākuma 1.2.2.1. apmācībās, ka saskaņā ar Regulas Nr.651/2014 1. panta 2. punkta "c" apakšpunktu uzņēmums nedrīkst apmācīt uzņēmuma darbiniekus šajā specifiskā atbalsta mērķa pasākumā, ja tiek izpildīti abi turpmāk norādītie nosacījumi:</w:t>
      </w:r>
    </w:p>
    <w:p w:rsidR="00D67C45" w:rsidRPr="0035756E" w:rsidRDefault="00D67C45" w:rsidP="0035756E">
      <w:pPr>
        <w:pStyle w:val="ListParagraph"/>
        <w:numPr>
          <w:ilvl w:val="0"/>
          <w:numId w:val="21"/>
        </w:numPr>
        <w:spacing w:after="0" w:line="240" w:lineRule="auto"/>
        <w:jc w:val="both"/>
        <w:rPr>
          <w:rFonts w:ascii="Times New Roman" w:eastAsia="Times New Roman" w:hAnsi="Times New Roman"/>
          <w:bCs/>
          <w:sz w:val="24"/>
          <w:szCs w:val="24"/>
          <w:lang w:eastAsia="lv-LV"/>
        </w:rPr>
      </w:pPr>
      <w:r w:rsidRPr="0035756E">
        <w:rPr>
          <w:rFonts w:ascii="Times New Roman" w:eastAsia="Times New Roman" w:hAnsi="Times New Roman"/>
          <w:bCs/>
          <w:sz w:val="24"/>
          <w:szCs w:val="24"/>
          <w:lang w:eastAsia="lv-LV"/>
        </w:rPr>
        <w:t>uzņēmums šobrīd veic vai plāno veikt eksporta darbības un</w:t>
      </w:r>
    </w:p>
    <w:p w:rsidR="00D67C45" w:rsidRPr="0035756E" w:rsidRDefault="00D67C45" w:rsidP="0035756E">
      <w:pPr>
        <w:pStyle w:val="ListParagraph"/>
        <w:numPr>
          <w:ilvl w:val="0"/>
          <w:numId w:val="21"/>
        </w:numPr>
        <w:spacing w:after="0" w:line="240" w:lineRule="auto"/>
        <w:jc w:val="both"/>
        <w:rPr>
          <w:rFonts w:ascii="Times New Roman" w:eastAsia="Times New Roman" w:hAnsi="Times New Roman"/>
          <w:bCs/>
          <w:sz w:val="24"/>
          <w:szCs w:val="24"/>
          <w:lang w:eastAsia="lv-LV"/>
        </w:rPr>
      </w:pPr>
      <w:r w:rsidRPr="0035756E">
        <w:rPr>
          <w:rFonts w:ascii="Times New Roman" w:eastAsia="Times New Roman" w:hAnsi="Times New Roman"/>
          <w:bCs/>
          <w:sz w:val="24"/>
          <w:szCs w:val="24"/>
          <w:lang w:eastAsia="lv-LV"/>
        </w:rPr>
        <w:t>uzņēmums vēlas izmantot SAM pasākuma 1.2.2.1. apmācības, lai segtu uzņēmuma izdevumus, kas tieši saistīti ar eksporta darbībām, piemēram, apmācot uzņēmuma darbiniekus, kā izveidot izplatīšanas tīklu un nodrošināt tā darbību kādā no Eiropas Savienības dalībvalstīm, kur uzņēmums plāno uzsākt darbību.</w:t>
      </w:r>
    </w:p>
    <w:p w:rsidR="00D67C45" w:rsidRPr="0035756E" w:rsidRDefault="00D67C45" w:rsidP="0035756E">
      <w:pPr>
        <w:pStyle w:val="ListParagraph"/>
        <w:numPr>
          <w:ilvl w:val="0"/>
          <w:numId w:val="21"/>
        </w:numPr>
        <w:spacing w:after="0" w:line="240" w:lineRule="auto"/>
        <w:jc w:val="both"/>
        <w:rPr>
          <w:rFonts w:ascii="Times New Roman" w:eastAsia="Times New Roman" w:hAnsi="Times New Roman"/>
          <w:bCs/>
          <w:sz w:val="24"/>
          <w:szCs w:val="24"/>
          <w:lang w:eastAsia="lv-LV"/>
        </w:rPr>
      </w:pPr>
      <w:r w:rsidRPr="0035756E">
        <w:rPr>
          <w:rFonts w:ascii="Times New Roman" w:eastAsia="Times New Roman" w:hAnsi="Times New Roman"/>
          <w:bCs/>
          <w:iCs/>
          <w:sz w:val="24"/>
          <w:szCs w:val="24"/>
          <w:lang w:eastAsia="lv-LV"/>
        </w:rPr>
        <w:t xml:space="preserve">Biedrībai nav nepieciešams veikt atsevišķu pārbaudi, vai uzņēmums ievēro </w:t>
      </w:r>
      <w:r w:rsidRPr="0035756E">
        <w:rPr>
          <w:rFonts w:ascii="Times New Roman" w:eastAsia="Times New Roman" w:hAnsi="Times New Roman"/>
          <w:bCs/>
          <w:sz w:val="24"/>
          <w:szCs w:val="24"/>
          <w:lang w:eastAsia="lv-LV"/>
        </w:rPr>
        <w:t>Regulas Nr.651/2014 1. panta 2. punkta "c" apakšpunkta nosacījumu</w:t>
      </w:r>
      <w:r w:rsidRPr="0035756E">
        <w:rPr>
          <w:rFonts w:ascii="Times New Roman" w:eastAsia="Times New Roman" w:hAnsi="Times New Roman"/>
          <w:bCs/>
          <w:iCs/>
          <w:sz w:val="24"/>
          <w:szCs w:val="24"/>
          <w:lang w:eastAsia="lv-LV"/>
        </w:rPr>
        <w:t>, bet būtu ieteicams, ka biedrība informē uzņēmumu par šādu nosacījumu, pirms uzņēmums tiek iesaistīts šajā s</w:t>
      </w:r>
      <w:r w:rsidRPr="0035756E">
        <w:rPr>
          <w:rFonts w:ascii="Times New Roman" w:eastAsia="Times New Roman" w:hAnsi="Times New Roman"/>
          <w:bCs/>
          <w:sz w:val="24"/>
          <w:szCs w:val="24"/>
          <w:lang w:eastAsia="lv-LV"/>
        </w:rPr>
        <w:t>pecifiskā atbalsta mērķa pasākumā</w:t>
      </w:r>
      <w:r w:rsidRPr="0035756E">
        <w:rPr>
          <w:rFonts w:ascii="Times New Roman" w:eastAsia="Times New Roman" w:hAnsi="Times New Roman"/>
          <w:bCs/>
          <w:iCs/>
          <w:sz w:val="24"/>
          <w:szCs w:val="24"/>
          <w:lang w:eastAsia="lv-LV"/>
        </w:rPr>
        <w:t>.</w:t>
      </w:r>
    </w:p>
    <w:p w:rsidR="00D67C45" w:rsidRPr="0035756E" w:rsidRDefault="00D67C45" w:rsidP="0035756E">
      <w:pPr>
        <w:pStyle w:val="ListParagraph"/>
        <w:numPr>
          <w:ilvl w:val="0"/>
          <w:numId w:val="21"/>
        </w:numPr>
        <w:spacing w:after="0" w:line="240" w:lineRule="auto"/>
        <w:jc w:val="both"/>
        <w:rPr>
          <w:rFonts w:ascii="Times New Roman" w:eastAsia="Times New Roman" w:hAnsi="Times New Roman"/>
          <w:bCs/>
          <w:iCs/>
          <w:sz w:val="24"/>
          <w:szCs w:val="24"/>
          <w:lang w:eastAsia="lv-LV"/>
        </w:rPr>
      </w:pPr>
      <w:r w:rsidRPr="0035756E">
        <w:rPr>
          <w:rFonts w:ascii="Times New Roman" w:eastAsia="Times New Roman" w:hAnsi="Times New Roman"/>
          <w:bCs/>
          <w:sz w:val="24"/>
          <w:szCs w:val="24"/>
          <w:lang w:eastAsia="lv-LV"/>
        </w:rPr>
        <w:t xml:space="preserve">Regulas Nr.651/2014 </w:t>
      </w:r>
      <w:r w:rsidRPr="0035756E">
        <w:rPr>
          <w:rFonts w:ascii="Times New Roman" w:eastAsia="Times New Roman" w:hAnsi="Times New Roman"/>
          <w:bCs/>
          <w:iCs/>
          <w:sz w:val="24"/>
          <w:szCs w:val="24"/>
          <w:lang w:eastAsia="lv-LV"/>
        </w:rPr>
        <w:t>9.apsvērumā noteikts, ka atbalsts izmaksu segšanai saistībā ar pētījumiem vai konsultāciju pakalpojumiem, kas vajadzīgi jauna vai esoša produkta laišanai jaunā tirgū citā Eiropas Savienības dalībvalstī vai kādā trešajā valstī, parasti nav uzskatāms par atbalstu ar eksportu saistītām darbībām.</w:t>
      </w:r>
    </w:p>
    <w:p w:rsidR="00D67C45" w:rsidRPr="0035756E" w:rsidRDefault="00D67C45" w:rsidP="0035756E">
      <w:pPr>
        <w:pStyle w:val="ListParagraph"/>
        <w:numPr>
          <w:ilvl w:val="0"/>
          <w:numId w:val="21"/>
        </w:numPr>
        <w:spacing w:after="0" w:line="240" w:lineRule="auto"/>
        <w:jc w:val="both"/>
        <w:rPr>
          <w:rFonts w:ascii="Times New Roman" w:eastAsia="Times New Roman" w:hAnsi="Times New Roman"/>
          <w:bCs/>
          <w:iCs/>
          <w:sz w:val="24"/>
          <w:szCs w:val="24"/>
          <w:lang w:eastAsia="lv-LV"/>
        </w:rPr>
      </w:pPr>
      <w:r w:rsidRPr="0035756E">
        <w:rPr>
          <w:rFonts w:ascii="Times New Roman" w:eastAsia="Times New Roman" w:hAnsi="Times New Roman"/>
          <w:bCs/>
          <w:sz w:val="24"/>
          <w:szCs w:val="24"/>
          <w:lang w:eastAsia="lv-LV"/>
        </w:rPr>
        <w:t>Specifiskā atbalsta mērķa pasākumā d</w:t>
      </w:r>
      <w:r w:rsidRPr="0035756E">
        <w:rPr>
          <w:rFonts w:ascii="Times New Roman" w:eastAsia="Times New Roman" w:hAnsi="Times New Roman"/>
          <w:bCs/>
          <w:iCs/>
          <w:sz w:val="24"/>
          <w:szCs w:val="24"/>
          <w:lang w:eastAsia="lv-LV"/>
        </w:rPr>
        <w:t>rīkst apmācīt uzņēmumus, kas eksportē uz Eiropas Savienības dalībvalstīm un trešajām valstīm, kā arī</w:t>
      </w:r>
      <w:r w:rsidRPr="0035756E">
        <w:rPr>
          <w:rFonts w:ascii="Times New Roman" w:eastAsia="Times New Roman" w:hAnsi="Times New Roman"/>
          <w:b/>
          <w:bCs/>
          <w:i/>
          <w:iCs/>
          <w:sz w:val="24"/>
          <w:szCs w:val="24"/>
          <w:lang w:eastAsia="lv-LV"/>
        </w:rPr>
        <w:t xml:space="preserve"> </w:t>
      </w:r>
      <w:r w:rsidRPr="0035756E">
        <w:rPr>
          <w:rFonts w:ascii="Times New Roman" w:eastAsia="Times New Roman" w:hAnsi="Times New Roman"/>
          <w:bCs/>
          <w:iCs/>
          <w:sz w:val="24"/>
          <w:szCs w:val="24"/>
          <w:lang w:eastAsia="lv-LV"/>
        </w:rPr>
        <w:t>drīkst īstenot mācības, kurās iegūtās prasmes tiks izmantotas, lai veicinātu eksportu uz Eiropas Savienības dalībvalstīm un trešām valstīm.</w:t>
      </w:r>
    </w:p>
    <w:p w:rsidR="00793E21" w:rsidRPr="0035756E" w:rsidRDefault="00793E21" w:rsidP="0035756E">
      <w:pPr>
        <w:pStyle w:val="ListParagraph"/>
        <w:spacing w:after="0" w:line="240" w:lineRule="auto"/>
        <w:contextualSpacing w:val="0"/>
        <w:jc w:val="both"/>
        <w:rPr>
          <w:rFonts w:ascii="Times New Roman" w:hAnsi="Times New Roman"/>
          <w:sz w:val="24"/>
          <w:szCs w:val="24"/>
        </w:rPr>
      </w:pPr>
    </w:p>
    <w:p w:rsidR="00FD2322" w:rsidRPr="0035756E" w:rsidRDefault="00FD2322" w:rsidP="0035756E">
      <w:pPr>
        <w:pStyle w:val="ListParagraph"/>
        <w:numPr>
          <w:ilvl w:val="0"/>
          <w:numId w:val="13"/>
        </w:numPr>
        <w:spacing w:after="0" w:line="240" w:lineRule="auto"/>
        <w:contextualSpacing w:val="0"/>
        <w:jc w:val="both"/>
        <w:rPr>
          <w:rFonts w:ascii="Times New Roman" w:hAnsi="Times New Roman"/>
          <w:sz w:val="24"/>
          <w:szCs w:val="24"/>
        </w:rPr>
      </w:pPr>
      <w:r w:rsidRPr="0035756E">
        <w:rPr>
          <w:rFonts w:ascii="Times New Roman" w:hAnsi="Times New Roman"/>
          <w:b/>
          <w:bCs/>
          <w:sz w:val="24"/>
          <w:szCs w:val="24"/>
        </w:rPr>
        <w:t>MKN 48.1. punkts</w:t>
      </w:r>
      <w:r w:rsidRPr="0035756E">
        <w:rPr>
          <w:rFonts w:ascii="Times New Roman" w:hAnsi="Times New Roman"/>
          <w:sz w:val="24"/>
          <w:szCs w:val="24"/>
        </w:rPr>
        <w:t xml:space="preserve"> nosaka, ka atbalstu gala labuma guvējam nepiešķir: </w:t>
      </w:r>
      <w:r w:rsidRPr="0035756E">
        <w:rPr>
          <w:rFonts w:ascii="Times New Roman" w:hAnsi="Times New Roman"/>
          <w:b/>
          <w:bCs/>
          <w:sz w:val="24"/>
          <w:szCs w:val="24"/>
        </w:rPr>
        <w:t>d)</w:t>
      </w:r>
      <w:r w:rsidRPr="0035756E">
        <w:rPr>
          <w:rFonts w:ascii="Times New Roman" w:hAnsi="Times New Roman"/>
          <w:sz w:val="24"/>
          <w:szCs w:val="24"/>
        </w:rPr>
        <w:t xml:space="preserve"> atbalstam, ko piešķir ar nosacījumu, ka importa preču vietā tiek izmantotas vietējās preces. </w:t>
      </w:r>
      <w:r w:rsidRPr="0035756E">
        <w:rPr>
          <w:rFonts w:ascii="Times New Roman" w:hAnsi="Times New Roman"/>
          <w:b/>
          <w:bCs/>
          <w:i/>
          <w:iCs/>
          <w:sz w:val="24"/>
          <w:szCs w:val="24"/>
        </w:rPr>
        <w:t>Apmācību projekta kontekstā, kas sakarā ar šo punktu mums ir jāpārbauda un ko īsti šis punkts liedz darīt?</w:t>
      </w:r>
    </w:p>
    <w:p w:rsidR="00D67C45" w:rsidRPr="0035756E" w:rsidRDefault="002B40EF" w:rsidP="002A0731">
      <w:pPr>
        <w:jc w:val="both"/>
        <w:rPr>
          <w:rFonts w:ascii="Times New Roman" w:eastAsia="Times New Roman" w:hAnsi="Times New Roman"/>
          <w:sz w:val="24"/>
          <w:szCs w:val="24"/>
          <w:lang w:eastAsia="lv-LV"/>
        </w:rPr>
      </w:pPr>
      <w:r w:rsidRPr="0035756E">
        <w:rPr>
          <w:rFonts w:ascii="Times New Roman" w:hAnsi="Times New Roman"/>
          <w:b/>
          <w:sz w:val="24"/>
          <w:szCs w:val="24"/>
        </w:rPr>
        <w:t>Atbilde:</w:t>
      </w:r>
      <w:r w:rsidRPr="0035756E">
        <w:rPr>
          <w:rFonts w:ascii="Times New Roman" w:hAnsi="Times New Roman"/>
          <w:sz w:val="24"/>
          <w:szCs w:val="24"/>
        </w:rPr>
        <w:t xml:space="preserve"> </w:t>
      </w:r>
      <w:r w:rsidR="00D67C45" w:rsidRPr="0035756E">
        <w:rPr>
          <w:rFonts w:ascii="Times New Roman" w:eastAsia="Times New Roman" w:hAnsi="Times New Roman"/>
          <w:bCs/>
          <w:sz w:val="24"/>
          <w:szCs w:val="24"/>
          <w:lang w:eastAsia="lv-LV"/>
        </w:rPr>
        <w:t>Saskaņā ar Regulas Nr.651/2014 1. panta 2. punkta "c" apakšpunktu projektā veiktie izdevumi būs neatļauti sniegts valsts atbalsts, ja biedrība kādā no projekta atbalstāmajām darbībām izvirzīs nosacījumu, ka priekšroka jādod vietējām precēm, nevis importa precēm. Biedrībai ir jāņem vērā šis princips projekta īstenošanas laikā, taču biedrībai nav jāveic nekādas atsevišķas pārbaudes vai procedūras saistībā ar šo nosacījumu.</w:t>
      </w:r>
    </w:p>
    <w:p w:rsidR="00793E21" w:rsidRPr="0035756E" w:rsidRDefault="00793E21" w:rsidP="0035756E">
      <w:pPr>
        <w:jc w:val="both"/>
        <w:rPr>
          <w:rFonts w:ascii="Times New Roman" w:hAnsi="Times New Roman"/>
          <w:sz w:val="24"/>
          <w:szCs w:val="24"/>
        </w:rPr>
      </w:pPr>
    </w:p>
    <w:p w:rsidR="00FD2322" w:rsidRPr="0035756E" w:rsidRDefault="00FD2322" w:rsidP="0035756E">
      <w:pPr>
        <w:pStyle w:val="ListParagraph"/>
        <w:numPr>
          <w:ilvl w:val="0"/>
          <w:numId w:val="13"/>
        </w:numPr>
        <w:spacing w:after="0" w:line="240" w:lineRule="auto"/>
        <w:contextualSpacing w:val="0"/>
        <w:jc w:val="both"/>
        <w:rPr>
          <w:rFonts w:ascii="Times New Roman" w:hAnsi="Times New Roman"/>
          <w:sz w:val="24"/>
          <w:szCs w:val="24"/>
        </w:rPr>
      </w:pPr>
      <w:r w:rsidRPr="0035756E">
        <w:rPr>
          <w:rFonts w:ascii="Times New Roman" w:hAnsi="Times New Roman"/>
          <w:b/>
          <w:bCs/>
          <w:sz w:val="24"/>
          <w:szCs w:val="24"/>
        </w:rPr>
        <w:t xml:space="preserve">MKN 48.1. punkts </w:t>
      </w:r>
      <w:r w:rsidRPr="0035756E">
        <w:rPr>
          <w:rFonts w:ascii="Times New Roman" w:hAnsi="Times New Roman"/>
          <w:sz w:val="24"/>
          <w:szCs w:val="24"/>
        </w:rPr>
        <w:t xml:space="preserve">nosaka, ka atbalstu gala labuma guvējam nepiešķir, ja gala labuma guvējs nav sniedzis informāciju atbilstoši Regulas 6.panta 2.punktam: - </w:t>
      </w:r>
      <w:r w:rsidRPr="0035756E">
        <w:rPr>
          <w:rFonts w:ascii="Times New Roman" w:hAnsi="Times New Roman"/>
          <w:b/>
          <w:bCs/>
          <w:i/>
          <w:iCs/>
          <w:sz w:val="24"/>
          <w:szCs w:val="24"/>
        </w:rPr>
        <w:t>vai tas nozīmē, ka Asociācijai šī informācija jāsaņem no uzņēmumiem, lai pieņemtu lēmumu par atbalsta piešķiršanu?</w:t>
      </w:r>
      <w:r w:rsidRPr="0035756E">
        <w:rPr>
          <w:rFonts w:ascii="Times New Roman" w:hAnsi="Times New Roman"/>
          <w:sz w:val="24"/>
          <w:szCs w:val="24"/>
        </w:rPr>
        <w:t xml:space="preserve"> Regulā minēts, ka saņēmējs attiecīgajai dalībvalstij ir iesniedzis rakstisku atbalsta pieteikumu, pirms sākas darbs pie projekta vai pirms sākas darbība – </w:t>
      </w:r>
      <w:r w:rsidRPr="0035756E">
        <w:rPr>
          <w:rFonts w:ascii="Times New Roman" w:hAnsi="Times New Roman"/>
          <w:b/>
          <w:bCs/>
          <w:i/>
          <w:iCs/>
          <w:sz w:val="24"/>
          <w:szCs w:val="24"/>
        </w:rPr>
        <w:t>Lūdzu paskaidrojiet, apmācību projekta gadījumā, kurš, kuram, ko un kad iesniedz pieteikuma formā?  </w:t>
      </w:r>
      <w:r w:rsidRPr="0035756E">
        <w:rPr>
          <w:rFonts w:ascii="Times New Roman" w:hAnsi="Times New Roman"/>
          <w:sz w:val="24"/>
          <w:szCs w:val="24"/>
        </w:rPr>
        <w:t xml:space="preserve">         </w:t>
      </w:r>
    </w:p>
    <w:p w:rsidR="00FD2322" w:rsidRPr="0035756E" w:rsidRDefault="002B40EF" w:rsidP="002A0731">
      <w:pPr>
        <w:jc w:val="both"/>
        <w:rPr>
          <w:rFonts w:ascii="Times New Roman" w:hAnsi="Times New Roman"/>
          <w:sz w:val="24"/>
          <w:szCs w:val="24"/>
        </w:rPr>
      </w:pPr>
      <w:r w:rsidRPr="0035756E">
        <w:rPr>
          <w:rFonts w:ascii="Times New Roman" w:hAnsi="Times New Roman"/>
          <w:b/>
          <w:sz w:val="24"/>
          <w:szCs w:val="24"/>
        </w:rPr>
        <w:t>Atbilde:</w:t>
      </w:r>
      <w:r w:rsidRPr="0035756E">
        <w:rPr>
          <w:rFonts w:ascii="Times New Roman" w:hAnsi="Times New Roman"/>
          <w:sz w:val="24"/>
          <w:szCs w:val="24"/>
        </w:rPr>
        <w:t xml:space="preserve"> </w:t>
      </w:r>
      <w:r w:rsidR="00D67C45" w:rsidRPr="0035756E">
        <w:rPr>
          <w:rFonts w:ascii="Times New Roman" w:hAnsi="Times New Roman"/>
          <w:sz w:val="24"/>
          <w:szCs w:val="24"/>
        </w:rPr>
        <w:t>Atbalsta saņēmējs pirms apmācību kursa sagatavo un iesniedz asociācijai pieteikumu, kurā norādīta vismaz šāda informācija (asociācija var sagatavot pieteikuma formas veidlapu un to papildināt ar citiem jautājumiem):</w:t>
      </w:r>
    </w:p>
    <w:p w:rsidR="00D67C45" w:rsidRPr="0035756E" w:rsidRDefault="002B40EF" w:rsidP="0035756E">
      <w:pPr>
        <w:pStyle w:val="ListParagraph"/>
        <w:numPr>
          <w:ilvl w:val="2"/>
          <w:numId w:val="13"/>
        </w:numPr>
        <w:spacing w:after="0" w:line="240" w:lineRule="auto"/>
        <w:jc w:val="both"/>
        <w:rPr>
          <w:rFonts w:ascii="Times New Roman" w:hAnsi="Times New Roman"/>
          <w:sz w:val="24"/>
          <w:szCs w:val="24"/>
        </w:rPr>
      </w:pPr>
      <w:r w:rsidRPr="0035756E">
        <w:rPr>
          <w:rFonts w:ascii="Times New Roman" w:hAnsi="Times New Roman"/>
          <w:sz w:val="24"/>
          <w:szCs w:val="24"/>
        </w:rPr>
        <w:t>uzņēmuma nosaukums un lielums</w:t>
      </w:r>
    </w:p>
    <w:p w:rsidR="00D67C45" w:rsidRPr="0035756E" w:rsidRDefault="00D67C45" w:rsidP="0035756E">
      <w:pPr>
        <w:pStyle w:val="ListParagraph"/>
        <w:numPr>
          <w:ilvl w:val="2"/>
          <w:numId w:val="13"/>
        </w:numPr>
        <w:spacing w:after="0" w:line="240" w:lineRule="auto"/>
        <w:jc w:val="both"/>
        <w:rPr>
          <w:rFonts w:ascii="Times New Roman" w:hAnsi="Times New Roman"/>
          <w:sz w:val="24"/>
          <w:szCs w:val="24"/>
        </w:rPr>
      </w:pPr>
      <w:r w:rsidRPr="0035756E">
        <w:rPr>
          <w:rFonts w:ascii="Times New Roman" w:hAnsi="Times New Roman"/>
          <w:sz w:val="24"/>
          <w:szCs w:val="24"/>
        </w:rPr>
        <w:t>projekta apraksts, tostarp tā sākuma un beigu datums –</w:t>
      </w:r>
      <w:r w:rsidRPr="0035756E">
        <w:rPr>
          <w:rFonts w:ascii="Times New Roman" w:hAnsi="Times New Roman"/>
          <w:i/>
          <w:sz w:val="24"/>
          <w:szCs w:val="24"/>
        </w:rPr>
        <w:t xml:space="preserve"> norādāms apmācību kurss vai kursi un informācija/pamatojums par tiem</w:t>
      </w:r>
    </w:p>
    <w:p w:rsidR="00D67C45" w:rsidRPr="0035756E" w:rsidRDefault="002B40EF" w:rsidP="0035756E">
      <w:pPr>
        <w:pStyle w:val="ListParagraph"/>
        <w:numPr>
          <w:ilvl w:val="2"/>
          <w:numId w:val="13"/>
        </w:numPr>
        <w:spacing w:after="0" w:line="240" w:lineRule="auto"/>
        <w:jc w:val="both"/>
        <w:rPr>
          <w:rFonts w:ascii="Times New Roman" w:hAnsi="Times New Roman"/>
          <w:sz w:val="24"/>
          <w:szCs w:val="24"/>
        </w:rPr>
      </w:pPr>
      <w:r w:rsidRPr="0035756E">
        <w:rPr>
          <w:rFonts w:ascii="Times New Roman" w:hAnsi="Times New Roman"/>
          <w:sz w:val="24"/>
          <w:szCs w:val="24"/>
        </w:rPr>
        <w:t>projekta īstenošanas vieta</w:t>
      </w:r>
    </w:p>
    <w:p w:rsidR="00D67C45" w:rsidRPr="0035756E" w:rsidRDefault="002B40EF" w:rsidP="0035756E">
      <w:pPr>
        <w:pStyle w:val="ListParagraph"/>
        <w:numPr>
          <w:ilvl w:val="2"/>
          <w:numId w:val="13"/>
        </w:numPr>
        <w:spacing w:after="0" w:line="240" w:lineRule="auto"/>
        <w:jc w:val="both"/>
        <w:rPr>
          <w:rFonts w:ascii="Times New Roman" w:hAnsi="Times New Roman"/>
          <w:b/>
          <w:bCs/>
          <w:i/>
          <w:iCs/>
          <w:sz w:val="24"/>
          <w:szCs w:val="24"/>
        </w:rPr>
      </w:pPr>
      <w:r w:rsidRPr="0035756E">
        <w:rPr>
          <w:rFonts w:ascii="Times New Roman" w:hAnsi="Times New Roman"/>
          <w:sz w:val="24"/>
          <w:szCs w:val="24"/>
        </w:rPr>
        <w:t xml:space="preserve">projekta izmaksu uzskaitījums </w:t>
      </w:r>
      <w:r w:rsidR="00D67C45" w:rsidRPr="0035756E">
        <w:rPr>
          <w:rFonts w:ascii="Times New Roman" w:hAnsi="Times New Roman"/>
          <w:sz w:val="24"/>
          <w:szCs w:val="24"/>
        </w:rPr>
        <w:t xml:space="preserve">- </w:t>
      </w:r>
      <w:r w:rsidR="00D67C45" w:rsidRPr="0035756E">
        <w:rPr>
          <w:rFonts w:ascii="Times New Roman" w:hAnsi="Times New Roman"/>
          <w:bCs/>
          <w:i/>
          <w:iCs/>
          <w:sz w:val="24"/>
          <w:szCs w:val="24"/>
        </w:rPr>
        <w:t xml:space="preserve">norāda, ka šis ir </w:t>
      </w:r>
      <w:r w:rsidRPr="0035756E">
        <w:rPr>
          <w:rFonts w:ascii="Times New Roman" w:hAnsi="Times New Roman"/>
          <w:i/>
          <w:sz w:val="24"/>
          <w:szCs w:val="24"/>
        </w:rPr>
        <w:t>atbalsts mācībām</w:t>
      </w:r>
      <w:r w:rsidRPr="0035756E">
        <w:rPr>
          <w:rFonts w:ascii="Times New Roman" w:hAnsi="Times New Roman"/>
          <w:sz w:val="24"/>
          <w:szCs w:val="24"/>
        </w:rPr>
        <w:t xml:space="preserve"> </w:t>
      </w:r>
      <w:r w:rsidRPr="0035756E">
        <w:rPr>
          <w:rFonts w:ascii="Times New Roman" w:hAnsi="Times New Roman"/>
          <w:i/>
          <w:sz w:val="24"/>
          <w:szCs w:val="24"/>
        </w:rPr>
        <w:t>(651/2014 31.pants) un paredzētās izmaksas</w:t>
      </w:r>
    </w:p>
    <w:p w:rsidR="00D67C45" w:rsidRPr="0035756E" w:rsidRDefault="00D67C45" w:rsidP="0035756E">
      <w:pPr>
        <w:pStyle w:val="ListParagraph"/>
        <w:numPr>
          <w:ilvl w:val="2"/>
          <w:numId w:val="13"/>
        </w:numPr>
        <w:spacing w:after="0" w:line="240" w:lineRule="auto"/>
        <w:jc w:val="both"/>
        <w:rPr>
          <w:rFonts w:ascii="Times New Roman" w:hAnsi="Times New Roman"/>
          <w:sz w:val="24"/>
          <w:szCs w:val="24"/>
        </w:rPr>
      </w:pPr>
      <w:r w:rsidRPr="0035756E">
        <w:rPr>
          <w:rFonts w:ascii="Times New Roman" w:hAnsi="Times New Roman"/>
          <w:sz w:val="24"/>
          <w:szCs w:val="24"/>
        </w:rPr>
        <w:t xml:space="preserve">atbalsta veids </w:t>
      </w:r>
      <w:r w:rsidRPr="0035756E">
        <w:rPr>
          <w:rFonts w:ascii="Times New Roman" w:hAnsi="Times New Roman"/>
          <w:i/>
          <w:sz w:val="24"/>
          <w:szCs w:val="24"/>
        </w:rPr>
        <w:t xml:space="preserve">– </w:t>
      </w:r>
      <w:r w:rsidR="002B40EF" w:rsidRPr="0035756E">
        <w:rPr>
          <w:rFonts w:ascii="Times New Roman" w:hAnsi="Times New Roman"/>
          <w:i/>
          <w:sz w:val="24"/>
          <w:szCs w:val="24"/>
        </w:rPr>
        <w:t xml:space="preserve">norāda, ka tā ir </w:t>
      </w:r>
      <w:r w:rsidRPr="0035756E">
        <w:rPr>
          <w:rFonts w:ascii="Times New Roman" w:hAnsi="Times New Roman"/>
          <w:i/>
          <w:sz w:val="24"/>
          <w:szCs w:val="24"/>
        </w:rPr>
        <w:t>dotācija</w:t>
      </w:r>
      <w:r w:rsidR="002B40EF" w:rsidRPr="0035756E">
        <w:rPr>
          <w:rFonts w:ascii="Times New Roman" w:hAnsi="Times New Roman"/>
          <w:i/>
          <w:sz w:val="24"/>
          <w:szCs w:val="24"/>
        </w:rPr>
        <w:t>, kā arī summu un intensitāti</w:t>
      </w:r>
    </w:p>
    <w:p w:rsidR="00793E21" w:rsidRPr="0035756E" w:rsidRDefault="00793E21" w:rsidP="00C04EC1">
      <w:pPr>
        <w:rPr>
          <w:rFonts w:ascii="Times New Roman" w:hAnsi="Times New Roman"/>
          <w:sz w:val="24"/>
          <w:szCs w:val="24"/>
        </w:rPr>
      </w:pPr>
    </w:p>
    <w:p w:rsidR="00FD2322" w:rsidRPr="00C04EC1" w:rsidRDefault="00FD2322" w:rsidP="00C04EC1">
      <w:pPr>
        <w:rPr>
          <w:rFonts w:ascii="Times New Roman" w:hAnsi="Times New Roman"/>
          <w:sz w:val="24"/>
          <w:szCs w:val="24"/>
        </w:rPr>
      </w:pPr>
    </w:p>
    <w:p w:rsidR="00C04EC1" w:rsidRPr="00C04EC1" w:rsidRDefault="00C04EC1" w:rsidP="002A0731">
      <w:pPr>
        <w:pStyle w:val="ListParagraph"/>
        <w:numPr>
          <w:ilvl w:val="0"/>
          <w:numId w:val="13"/>
        </w:numPr>
        <w:spacing w:after="0" w:line="240" w:lineRule="auto"/>
        <w:jc w:val="both"/>
        <w:rPr>
          <w:rFonts w:ascii="Times New Roman" w:hAnsi="Times New Roman"/>
          <w:sz w:val="24"/>
          <w:szCs w:val="24"/>
        </w:rPr>
      </w:pPr>
      <w:r w:rsidRPr="00C04EC1">
        <w:rPr>
          <w:rFonts w:ascii="Times New Roman" w:hAnsi="Times New Roman"/>
          <w:sz w:val="24"/>
          <w:szCs w:val="24"/>
        </w:rPr>
        <w:t>Vai projekta vadības izmaksas kā de minimis nav jāuzskaita arī tad, ja projekta vadītājs tiek iepirkts kā ārpakalpojums, bet par citām projekta vadības izmaksām (telpu noma, sakari u.c.) biedrībai atsevišķi veikti iepirkumi vai iepirkuma procedūra nav jāpiemēro saskaņā ar normatīvajiem aktiem?</w:t>
      </w:r>
    </w:p>
    <w:p w:rsidR="00FD2322" w:rsidRPr="00B40D1F" w:rsidRDefault="00C04EC1" w:rsidP="002A0731">
      <w:pPr>
        <w:jc w:val="both"/>
        <w:rPr>
          <w:rFonts w:ascii="Times New Roman" w:hAnsi="Times New Roman"/>
          <w:sz w:val="24"/>
          <w:szCs w:val="24"/>
        </w:rPr>
      </w:pPr>
      <w:r w:rsidRPr="00B40D1F">
        <w:rPr>
          <w:rFonts w:ascii="Times New Roman" w:hAnsi="Times New Roman"/>
          <w:b/>
          <w:sz w:val="24"/>
          <w:szCs w:val="24"/>
        </w:rPr>
        <w:t>Atbilde:</w:t>
      </w:r>
      <w:r w:rsidRPr="00B40D1F">
        <w:rPr>
          <w:rFonts w:ascii="Times New Roman" w:hAnsi="Times New Roman"/>
          <w:sz w:val="24"/>
          <w:szCs w:val="24"/>
        </w:rPr>
        <w:t xml:space="preserve"> Nē, visas </w:t>
      </w:r>
      <w:r w:rsidR="00FD2322" w:rsidRPr="00B40D1F">
        <w:rPr>
          <w:rFonts w:ascii="Times New Roman" w:hAnsi="Times New Roman"/>
          <w:sz w:val="24"/>
          <w:szCs w:val="24"/>
        </w:rPr>
        <w:t>projekta vadības izmaksas nav jāuzskaita de minimis tikai tad, ja projekta vadība tiek iepirkta kā kopējs ārpakalpojums. Ja iepirkums ir tikai projekta vadītājam, tad pārējās projekta vadības izmaksas ārpus šī viena iepirkuma ir de minimis atbalsts.</w:t>
      </w:r>
    </w:p>
    <w:p w:rsidR="00FD2322" w:rsidRPr="00C04EC1" w:rsidRDefault="00FD2322" w:rsidP="002A0731">
      <w:pPr>
        <w:pStyle w:val="ListParagraph"/>
        <w:spacing w:after="0" w:line="240" w:lineRule="auto"/>
        <w:jc w:val="both"/>
        <w:rPr>
          <w:rFonts w:ascii="Times New Roman" w:hAnsi="Times New Roman"/>
          <w:sz w:val="24"/>
          <w:szCs w:val="24"/>
        </w:rPr>
      </w:pPr>
    </w:p>
    <w:p w:rsidR="00FD2322" w:rsidRPr="00C04EC1" w:rsidRDefault="00C04EC1" w:rsidP="002A0731">
      <w:pPr>
        <w:pStyle w:val="ListParagraph"/>
        <w:numPr>
          <w:ilvl w:val="0"/>
          <w:numId w:val="13"/>
        </w:numPr>
        <w:spacing w:after="0" w:line="240" w:lineRule="auto"/>
        <w:jc w:val="both"/>
        <w:rPr>
          <w:rFonts w:ascii="Times New Roman" w:hAnsi="Times New Roman"/>
          <w:sz w:val="24"/>
          <w:szCs w:val="24"/>
        </w:rPr>
      </w:pPr>
      <w:r w:rsidRPr="00C04EC1">
        <w:rPr>
          <w:rFonts w:ascii="Times New Roman" w:hAnsi="Times New Roman"/>
          <w:sz w:val="24"/>
          <w:szCs w:val="24"/>
        </w:rPr>
        <w:t>V</w:t>
      </w:r>
      <w:r w:rsidR="00FD2322" w:rsidRPr="00C04EC1">
        <w:rPr>
          <w:rFonts w:ascii="Times New Roman" w:hAnsi="Times New Roman"/>
          <w:sz w:val="24"/>
          <w:szCs w:val="24"/>
        </w:rPr>
        <w:t xml:space="preserve">ai pie atbalstāmajām apmācībām </w:t>
      </w:r>
      <w:r w:rsidR="00FD2322" w:rsidRPr="00C04EC1">
        <w:rPr>
          <w:rFonts w:ascii="Times New Roman" w:hAnsi="Times New Roman"/>
          <w:b/>
          <w:bCs/>
          <w:sz w:val="24"/>
          <w:szCs w:val="24"/>
        </w:rPr>
        <w:t xml:space="preserve">48 481 Datorzinātnes </w:t>
      </w:r>
      <w:r w:rsidR="00FD2322" w:rsidRPr="00C04EC1">
        <w:rPr>
          <w:rFonts w:ascii="Times New Roman" w:hAnsi="Times New Roman"/>
          <w:sz w:val="24"/>
          <w:szCs w:val="24"/>
        </w:rPr>
        <w:t>ir atbalstāmas arī datorlietotāju apmācības – biroja programmatūra, grafika u.tml.?</w:t>
      </w:r>
      <w:r w:rsidRPr="00C04EC1">
        <w:rPr>
          <w:rFonts w:ascii="Times New Roman" w:hAnsi="Times New Roman"/>
          <w:sz w:val="24"/>
          <w:szCs w:val="24"/>
        </w:rPr>
        <w:t xml:space="preserve"> </w:t>
      </w:r>
      <w:r w:rsidR="00FD2322" w:rsidRPr="00C04EC1">
        <w:rPr>
          <w:rFonts w:ascii="Times New Roman" w:hAnsi="Times New Roman"/>
          <w:sz w:val="24"/>
          <w:szCs w:val="24"/>
        </w:rPr>
        <w:t>Tāds jautājums radās, jo Datorlietotāju apmācības ir zem cita koda – 48 482.</w:t>
      </w:r>
    </w:p>
    <w:p w:rsidR="00FD2322" w:rsidRPr="00B40D1F" w:rsidRDefault="00C04EC1" w:rsidP="002A0731">
      <w:pPr>
        <w:jc w:val="both"/>
        <w:rPr>
          <w:rFonts w:ascii="Times New Roman" w:hAnsi="Times New Roman"/>
          <w:sz w:val="24"/>
          <w:szCs w:val="24"/>
        </w:rPr>
      </w:pPr>
      <w:r w:rsidRPr="00B40D1F">
        <w:rPr>
          <w:rFonts w:ascii="Times New Roman" w:hAnsi="Times New Roman"/>
          <w:b/>
          <w:sz w:val="24"/>
          <w:szCs w:val="24"/>
        </w:rPr>
        <w:t>Atbilde:</w:t>
      </w:r>
      <w:r w:rsidRPr="00B40D1F">
        <w:rPr>
          <w:rFonts w:ascii="Times New Roman" w:hAnsi="Times New Roman"/>
          <w:sz w:val="24"/>
          <w:szCs w:val="24"/>
        </w:rPr>
        <w:t xml:space="preserve"> </w:t>
      </w:r>
      <w:r w:rsidR="00FD2322" w:rsidRPr="00B40D1F">
        <w:rPr>
          <w:rFonts w:ascii="Times New Roman" w:hAnsi="Times New Roman"/>
          <w:sz w:val="24"/>
          <w:szCs w:val="24"/>
        </w:rPr>
        <w:t>Tā kā Datorzinātnēm MK noteikumu Nr.617 2.pielikumā ir precīzs kods 48 481, tad Datorlietotāju apmācības, kas zem cita koda, nevarēs iekļaut šajā projektā.</w:t>
      </w:r>
    </w:p>
    <w:p w:rsidR="00FD2322" w:rsidRPr="00C04EC1" w:rsidRDefault="00FD2322" w:rsidP="002A0731">
      <w:pPr>
        <w:pStyle w:val="ListParagraph"/>
        <w:spacing w:after="0" w:line="240" w:lineRule="auto"/>
        <w:jc w:val="both"/>
        <w:rPr>
          <w:rFonts w:ascii="Times New Roman" w:hAnsi="Times New Roman"/>
          <w:sz w:val="24"/>
          <w:szCs w:val="24"/>
        </w:rPr>
      </w:pPr>
    </w:p>
    <w:p w:rsidR="00FD2322" w:rsidRDefault="00FD2322" w:rsidP="002A0731">
      <w:pPr>
        <w:pStyle w:val="PlainText"/>
        <w:numPr>
          <w:ilvl w:val="0"/>
          <w:numId w:val="13"/>
        </w:numPr>
        <w:jc w:val="both"/>
        <w:rPr>
          <w:rFonts w:ascii="Times New Roman" w:hAnsi="Times New Roman" w:cs="Times New Roman"/>
          <w:sz w:val="24"/>
          <w:szCs w:val="24"/>
        </w:rPr>
      </w:pPr>
      <w:r w:rsidRPr="00C04EC1">
        <w:rPr>
          <w:rFonts w:ascii="Times New Roman" w:hAnsi="Times New Roman" w:cs="Times New Roman"/>
          <w:sz w:val="24"/>
          <w:szCs w:val="24"/>
        </w:rPr>
        <w:t>Vai projektā 1.2.2.1. pasākums “Atbalsts nodarbināto apmācībām” - 1. projektu iesniegumu atlases kārta zem apmācību jomas "Datorika" ir atļautas sekojošās apmācības:</w:t>
      </w:r>
    </w:p>
    <w:p w:rsidR="00B40D1F" w:rsidRPr="00C04EC1" w:rsidRDefault="00B40D1F" w:rsidP="002A0731">
      <w:pPr>
        <w:pStyle w:val="PlainText"/>
        <w:ind w:left="720"/>
        <w:jc w:val="both"/>
        <w:rPr>
          <w:rFonts w:ascii="Times New Roman" w:hAnsi="Times New Roman" w:cs="Times New Roman"/>
          <w:sz w:val="24"/>
          <w:szCs w:val="24"/>
        </w:rPr>
      </w:pPr>
    </w:p>
    <w:p w:rsidR="00FD2322" w:rsidRPr="00C04EC1" w:rsidRDefault="00FD2322" w:rsidP="002A0731">
      <w:pPr>
        <w:pStyle w:val="PlainText"/>
        <w:numPr>
          <w:ilvl w:val="0"/>
          <w:numId w:val="22"/>
        </w:numPr>
        <w:jc w:val="both"/>
        <w:rPr>
          <w:rFonts w:ascii="Times New Roman" w:hAnsi="Times New Roman" w:cs="Times New Roman"/>
          <w:sz w:val="24"/>
          <w:szCs w:val="24"/>
        </w:rPr>
      </w:pPr>
      <w:r w:rsidRPr="00C04EC1">
        <w:rPr>
          <w:rFonts w:ascii="Times New Roman" w:hAnsi="Times New Roman" w:cs="Times New Roman"/>
          <w:sz w:val="24"/>
          <w:szCs w:val="24"/>
        </w:rPr>
        <w:t>Lietotājapmācības - tādas kā Microsoft Word un Microsoft Excel;</w:t>
      </w:r>
    </w:p>
    <w:p w:rsidR="009D50E9" w:rsidRDefault="009D50E9" w:rsidP="002A0731">
      <w:pPr>
        <w:pStyle w:val="PlainText"/>
        <w:jc w:val="both"/>
        <w:rPr>
          <w:rFonts w:ascii="Times New Roman" w:hAnsi="Times New Roman" w:cs="Times New Roman"/>
          <w:sz w:val="24"/>
          <w:szCs w:val="24"/>
        </w:rPr>
      </w:pPr>
      <w:r w:rsidRPr="00C04EC1">
        <w:rPr>
          <w:rFonts w:ascii="Times New Roman" w:hAnsi="Times New Roman" w:cs="Times New Roman"/>
          <w:b/>
          <w:sz w:val="24"/>
          <w:szCs w:val="24"/>
        </w:rPr>
        <w:t>Atbilde:</w:t>
      </w:r>
      <w:r w:rsidRPr="00C04EC1">
        <w:rPr>
          <w:rFonts w:ascii="Times New Roman" w:hAnsi="Times New Roman" w:cs="Times New Roman"/>
          <w:sz w:val="24"/>
          <w:szCs w:val="24"/>
        </w:rPr>
        <w:t xml:space="preserve"> Nē, šādas apmācības 1.2.2.1. pasākumā “Atbalsts nodarbināto apmācībām” netiks atbalstītas. </w:t>
      </w:r>
      <w:r w:rsidR="00E45151" w:rsidRPr="00C04EC1">
        <w:rPr>
          <w:rFonts w:ascii="Times New Roman" w:hAnsi="Times New Roman" w:cs="Times New Roman"/>
          <w:sz w:val="24"/>
          <w:szCs w:val="24"/>
        </w:rPr>
        <w:t xml:space="preserve">Šādām apmācībām </w:t>
      </w:r>
      <w:r w:rsidR="003827E6" w:rsidRPr="00C04EC1">
        <w:rPr>
          <w:rFonts w:ascii="Times New Roman" w:hAnsi="Times New Roman" w:cs="Times New Roman"/>
          <w:sz w:val="24"/>
          <w:szCs w:val="24"/>
        </w:rPr>
        <w:t xml:space="preserve">tiek </w:t>
      </w:r>
      <w:r w:rsidR="00E45151" w:rsidRPr="00C04EC1">
        <w:rPr>
          <w:rFonts w:ascii="Times New Roman" w:hAnsi="Times New Roman" w:cs="Times New Roman"/>
          <w:sz w:val="24"/>
          <w:szCs w:val="24"/>
        </w:rPr>
        <w:t>plānots</w:t>
      </w:r>
      <w:r w:rsidRPr="00C04EC1">
        <w:rPr>
          <w:rFonts w:ascii="Times New Roman" w:hAnsi="Times New Roman" w:cs="Times New Roman"/>
          <w:sz w:val="24"/>
          <w:szCs w:val="24"/>
        </w:rPr>
        <w:t xml:space="preserve"> 1.2.2.3.pasākums “Atbalsts IKT un netehnoloģiskām apmācībām, kā arī apmācībām, lai sekmētu investoru piesaisti”</w:t>
      </w:r>
      <w:r w:rsidR="00E45151" w:rsidRPr="00C04EC1">
        <w:rPr>
          <w:rFonts w:ascii="Times New Roman" w:hAnsi="Times New Roman" w:cs="Times New Roman"/>
          <w:sz w:val="24"/>
          <w:szCs w:val="24"/>
        </w:rPr>
        <w:t>.</w:t>
      </w:r>
    </w:p>
    <w:p w:rsidR="00B40D1F" w:rsidRPr="00C04EC1" w:rsidRDefault="00B40D1F" w:rsidP="00B40D1F">
      <w:pPr>
        <w:pStyle w:val="PlainText"/>
        <w:ind w:left="360"/>
        <w:rPr>
          <w:rFonts w:ascii="Times New Roman" w:hAnsi="Times New Roman" w:cs="Times New Roman"/>
          <w:sz w:val="24"/>
          <w:szCs w:val="24"/>
        </w:rPr>
      </w:pPr>
    </w:p>
    <w:p w:rsidR="00FD2322" w:rsidRPr="00C04EC1" w:rsidRDefault="00FD2322" w:rsidP="002A0731">
      <w:pPr>
        <w:pStyle w:val="PlainText"/>
        <w:numPr>
          <w:ilvl w:val="0"/>
          <w:numId w:val="22"/>
        </w:numPr>
        <w:jc w:val="both"/>
        <w:rPr>
          <w:rFonts w:ascii="Times New Roman" w:hAnsi="Times New Roman" w:cs="Times New Roman"/>
          <w:sz w:val="24"/>
          <w:szCs w:val="24"/>
        </w:rPr>
      </w:pPr>
      <w:r w:rsidRPr="00C04EC1">
        <w:rPr>
          <w:rFonts w:ascii="Times New Roman" w:hAnsi="Times New Roman" w:cs="Times New Roman"/>
          <w:sz w:val="24"/>
          <w:szCs w:val="24"/>
        </w:rPr>
        <w:t>Dažādu profesionālo programmu apmācības - tādas kā Solid Works un CorelDraw;</w:t>
      </w:r>
    </w:p>
    <w:p w:rsidR="00E45151" w:rsidRPr="00C04EC1" w:rsidRDefault="00E45151" w:rsidP="002A0731">
      <w:pPr>
        <w:pStyle w:val="PlainText"/>
        <w:jc w:val="both"/>
        <w:rPr>
          <w:rFonts w:ascii="Times New Roman" w:hAnsi="Times New Roman" w:cs="Times New Roman"/>
          <w:sz w:val="24"/>
          <w:szCs w:val="24"/>
        </w:rPr>
      </w:pPr>
      <w:r w:rsidRPr="00C04EC1">
        <w:rPr>
          <w:rFonts w:ascii="Times New Roman" w:hAnsi="Times New Roman" w:cs="Times New Roman"/>
          <w:b/>
          <w:sz w:val="24"/>
          <w:szCs w:val="24"/>
        </w:rPr>
        <w:t>Atbilde:</w:t>
      </w:r>
      <w:r w:rsidRPr="00C04EC1">
        <w:rPr>
          <w:rFonts w:ascii="Times New Roman" w:hAnsi="Times New Roman" w:cs="Times New Roman"/>
          <w:sz w:val="24"/>
          <w:szCs w:val="24"/>
        </w:rPr>
        <w:t xml:space="preserve"> </w:t>
      </w:r>
      <w:r w:rsidR="003827E6" w:rsidRPr="00C04EC1">
        <w:rPr>
          <w:rFonts w:ascii="Times New Roman" w:hAnsi="Times New Roman" w:cs="Times New Roman"/>
          <w:sz w:val="24"/>
          <w:szCs w:val="24"/>
        </w:rPr>
        <w:t xml:space="preserve">Jā, </w:t>
      </w:r>
      <w:r w:rsidRPr="00C04EC1">
        <w:rPr>
          <w:rFonts w:ascii="Times New Roman" w:hAnsi="Times New Roman" w:cs="Times New Roman"/>
          <w:sz w:val="24"/>
          <w:szCs w:val="24"/>
        </w:rPr>
        <w:t>1.2.2.1. pasākums “Atbalsts nodarbināto apmācībām” ir domāts profesionālo datorprogrammu apguvei, ievērojot MK noteikumu Nr.617 1.pielikumā norādītās atbalstāmās nozares/apakšnozares un atbilstību Viedās specializācijas stratēģijai.</w:t>
      </w:r>
    </w:p>
    <w:p w:rsidR="009D50E9" w:rsidRPr="00C04EC1" w:rsidRDefault="009D50E9" w:rsidP="002A0731">
      <w:pPr>
        <w:pStyle w:val="PlainText"/>
        <w:ind w:left="720"/>
        <w:jc w:val="both"/>
        <w:rPr>
          <w:rFonts w:ascii="Times New Roman" w:hAnsi="Times New Roman" w:cs="Times New Roman"/>
          <w:sz w:val="24"/>
          <w:szCs w:val="24"/>
        </w:rPr>
      </w:pPr>
    </w:p>
    <w:p w:rsidR="00FD2322" w:rsidRPr="00C04EC1" w:rsidRDefault="00FD2322" w:rsidP="002A0731">
      <w:pPr>
        <w:pStyle w:val="PlainText"/>
        <w:numPr>
          <w:ilvl w:val="0"/>
          <w:numId w:val="22"/>
        </w:numPr>
        <w:jc w:val="both"/>
        <w:rPr>
          <w:rFonts w:ascii="Times New Roman" w:hAnsi="Times New Roman" w:cs="Times New Roman"/>
          <w:sz w:val="24"/>
          <w:szCs w:val="24"/>
        </w:rPr>
      </w:pPr>
      <w:r w:rsidRPr="00C04EC1">
        <w:rPr>
          <w:rFonts w:ascii="Times New Roman" w:hAnsi="Times New Roman" w:cs="Times New Roman"/>
          <w:sz w:val="24"/>
          <w:szCs w:val="24"/>
        </w:rPr>
        <w:t>Apmācības par ražošanas vadības un uzskaites datorsistēmām - piemēram Mircosoft Navision, SAP utt.</w:t>
      </w:r>
    </w:p>
    <w:p w:rsidR="009D50E9" w:rsidRPr="00C04EC1" w:rsidRDefault="00E45151" w:rsidP="002A0731">
      <w:pPr>
        <w:pStyle w:val="PlainText"/>
        <w:jc w:val="both"/>
        <w:rPr>
          <w:rFonts w:ascii="Times New Roman" w:hAnsi="Times New Roman" w:cs="Times New Roman"/>
          <w:sz w:val="24"/>
          <w:szCs w:val="24"/>
        </w:rPr>
      </w:pPr>
      <w:r w:rsidRPr="00C04EC1">
        <w:rPr>
          <w:rFonts w:ascii="Times New Roman" w:hAnsi="Times New Roman" w:cs="Times New Roman"/>
          <w:b/>
          <w:sz w:val="24"/>
          <w:szCs w:val="24"/>
        </w:rPr>
        <w:t>Atbilde:</w:t>
      </w:r>
      <w:r w:rsidRPr="00C04EC1">
        <w:rPr>
          <w:rFonts w:ascii="Times New Roman" w:hAnsi="Times New Roman" w:cs="Times New Roman"/>
          <w:sz w:val="24"/>
          <w:szCs w:val="24"/>
        </w:rPr>
        <w:t xml:space="preserve"> Nē, šobrīd nav paredzēts atbalsts šāda veida apmācībām </w:t>
      </w:r>
      <w:r w:rsidR="003827E6" w:rsidRPr="00C04EC1">
        <w:rPr>
          <w:rFonts w:ascii="Times New Roman" w:hAnsi="Times New Roman" w:cs="Times New Roman"/>
          <w:sz w:val="24"/>
          <w:szCs w:val="24"/>
        </w:rPr>
        <w:t>1.2.2.1. pasākuma “Atbalsts nodarbināto apmācībām” projektu ietvaros.</w:t>
      </w:r>
    </w:p>
    <w:p w:rsidR="00C04EC1" w:rsidRPr="00C04EC1" w:rsidRDefault="00C04EC1" w:rsidP="002A0731">
      <w:pPr>
        <w:jc w:val="both"/>
        <w:rPr>
          <w:rFonts w:ascii="Times New Roman" w:hAnsi="Times New Roman"/>
          <w:sz w:val="24"/>
          <w:szCs w:val="24"/>
        </w:rPr>
      </w:pPr>
    </w:p>
    <w:p w:rsidR="001863B8" w:rsidRPr="00C04EC1" w:rsidRDefault="00C04EC1" w:rsidP="002A0731">
      <w:pPr>
        <w:pStyle w:val="ListParagraph"/>
        <w:numPr>
          <w:ilvl w:val="0"/>
          <w:numId w:val="13"/>
        </w:numPr>
        <w:spacing w:after="0" w:line="240" w:lineRule="auto"/>
        <w:jc w:val="both"/>
        <w:rPr>
          <w:rFonts w:ascii="Times New Roman" w:hAnsi="Times New Roman"/>
          <w:sz w:val="24"/>
          <w:szCs w:val="24"/>
        </w:rPr>
      </w:pPr>
      <w:r w:rsidRPr="00C04EC1">
        <w:rPr>
          <w:rFonts w:ascii="Times New Roman" w:hAnsi="Times New Roman"/>
          <w:sz w:val="24"/>
          <w:szCs w:val="24"/>
        </w:rPr>
        <w:t>K</w:t>
      </w:r>
      <w:r w:rsidR="001863B8" w:rsidRPr="00C04EC1">
        <w:rPr>
          <w:rFonts w:ascii="Times New Roman" w:hAnsi="Times New Roman"/>
          <w:sz w:val="24"/>
          <w:szCs w:val="24"/>
        </w:rPr>
        <w:t>as notiek, ja Biedrība, iesniedzot projekta pieteikumu, neparedz, ka būs de minimis izmaksas, bet vēlāk projekta laikā parādās. Piemēram, projekta tāmē tiek veiktas izmaiņas projekta laikā, kur no apmācību pozīcijas tiek pārnestas izmaksas uz projekta vadības sadaļu. Vai šādas izmaiņas tāmē būs atbalstāmas? Vai tas ietekmē projekta vērtēšanu?</w:t>
      </w:r>
    </w:p>
    <w:p w:rsidR="001863B8" w:rsidRPr="00B40D1F" w:rsidRDefault="00C04EC1" w:rsidP="002A0731">
      <w:pPr>
        <w:jc w:val="both"/>
        <w:rPr>
          <w:rFonts w:ascii="Times New Roman" w:hAnsi="Times New Roman"/>
          <w:sz w:val="24"/>
          <w:szCs w:val="24"/>
        </w:rPr>
      </w:pPr>
      <w:r w:rsidRPr="00B40D1F">
        <w:rPr>
          <w:rFonts w:ascii="Times New Roman" w:hAnsi="Times New Roman"/>
          <w:b/>
          <w:sz w:val="24"/>
          <w:szCs w:val="24"/>
        </w:rPr>
        <w:t>Atbilde:</w:t>
      </w:r>
      <w:r w:rsidRPr="00B40D1F">
        <w:rPr>
          <w:rFonts w:ascii="Times New Roman" w:hAnsi="Times New Roman"/>
          <w:sz w:val="24"/>
          <w:szCs w:val="24"/>
        </w:rPr>
        <w:t xml:space="preserve"> Vērtēšanu tas neietekmē. Šādas izmaiņas varēs tikt veiktas ar projekta grozījumiem, kas jāveic pirms izmaksu veikšanas un ievērojot MKN nosacījumus, t.sk. ievērojot kopējo projekta vadības izmaksu limitu.</w:t>
      </w:r>
    </w:p>
    <w:sectPr w:rsidR="001863B8" w:rsidRPr="00B40D1F" w:rsidSect="00C04EC1">
      <w:head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233" w:rsidRDefault="000B6233" w:rsidP="000B6233">
      <w:r>
        <w:separator/>
      </w:r>
    </w:p>
  </w:endnote>
  <w:endnote w:type="continuationSeparator" w:id="0">
    <w:p w:rsidR="000B6233" w:rsidRDefault="000B6233" w:rsidP="000B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233" w:rsidRDefault="000B6233" w:rsidP="000B6233">
      <w:r>
        <w:separator/>
      </w:r>
    </w:p>
  </w:footnote>
  <w:footnote w:type="continuationSeparator" w:id="0">
    <w:p w:rsidR="000B6233" w:rsidRDefault="000B6233" w:rsidP="000B6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764875"/>
      <w:docPartObj>
        <w:docPartGallery w:val="Page Numbers (Top of Page)"/>
        <w:docPartUnique/>
      </w:docPartObj>
    </w:sdtPr>
    <w:sdtEndPr>
      <w:rPr>
        <w:noProof/>
      </w:rPr>
    </w:sdtEndPr>
    <w:sdtContent>
      <w:p w:rsidR="00C04EC1" w:rsidRDefault="00C04EC1">
        <w:pPr>
          <w:pStyle w:val="Header"/>
          <w:jc w:val="center"/>
        </w:pPr>
        <w:r>
          <w:fldChar w:fldCharType="begin"/>
        </w:r>
        <w:r>
          <w:instrText xml:space="preserve"> PAGE   \* MERGEFORMAT </w:instrText>
        </w:r>
        <w:r>
          <w:fldChar w:fldCharType="separate"/>
        </w:r>
        <w:r w:rsidR="00830C17">
          <w:rPr>
            <w:noProof/>
          </w:rPr>
          <w:t>4</w:t>
        </w:r>
        <w:r>
          <w:rPr>
            <w:noProof/>
          </w:rPr>
          <w:fldChar w:fldCharType="end"/>
        </w:r>
      </w:p>
    </w:sdtContent>
  </w:sdt>
  <w:p w:rsidR="00C04EC1" w:rsidRDefault="00C04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A5555"/>
    <w:multiLevelType w:val="hybridMultilevel"/>
    <w:tmpl w:val="BB206A7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4855FA7"/>
    <w:multiLevelType w:val="hybridMultilevel"/>
    <w:tmpl w:val="4DE84936"/>
    <w:lvl w:ilvl="0" w:tplc="2604AD3C">
      <w:start w:val="1"/>
      <w:numFmt w:val="decimal"/>
      <w:lvlText w:val="%1)"/>
      <w:lvlJc w:val="left"/>
      <w:pPr>
        <w:ind w:left="720" w:hanging="360"/>
      </w:pPr>
      <w:rPr>
        <w:rFonts w:ascii="Calibri" w:hAnsi="Calibri" w:cs="Times New Roman" w:hint="default"/>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D946D21"/>
    <w:multiLevelType w:val="hybridMultilevel"/>
    <w:tmpl w:val="C7F201C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nsid w:val="21015A91"/>
    <w:multiLevelType w:val="hybridMultilevel"/>
    <w:tmpl w:val="495CDF9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3540214E"/>
    <w:multiLevelType w:val="hybridMultilevel"/>
    <w:tmpl w:val="EF1809B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nsid w:val="399E1FE6"/>
    <w:multiLevelType w:val="hybridMultilevel"/>
    <w:tmpl w:val="121ADD2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39B16F48"/>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47CF0806"/>
    <w:multiLevelType w:val="hybridMultilevel"/>
    <w:tmpl w:val="A2B476C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nsid w:val="4CC0341E"/>
    <w:multiLevelType w:val="hybridMultilevel"/>
    <w:tmpl w:val="B802C562"/>
    <w:lvl w:ilvl="0" w:tplc="72C6A306">
      <w:start w:val="1"/>
      <w:numFmt w:val="bullet"/>
      <w:lvlText w:val="-"/>
      <w:lvlJc w:val="left"/>
      <w:pPr>
        <w:ind w:left="1080" w:hanging="360"/>
      </w:pPr>
      <w:rPr>
        <w:rFonts w:ascii="Calibri" w:eastAsia="Calibri" w:hAnsi="Calibri"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nsid w:val="4F466A1A"/>
    <w:multiLevelType w:val="hybridMultilevel"/>
    <w:tmpl w:val="121ADD2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4FB6308F"/>
    <w:multiLevelType w:val="hybridMultilevel"/>
    <w:tmpl w:val="33A4A53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5560C26"/>
    <w:multiLevelType w:val="hybridMultilevel"/>
    <w:tmpl w:val="7F22A9FA"/>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D9563FF0">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6471955"/>
    <w:multiLevelType w:val="hybridMultilevel"/>
    <w:tmpl w:val="A546FBFC"/>
    <w:lvl w:ilvl="0" w:tplc="86004B60">
      <w:start w:val="1"/>
      <w:numFmt w:val="decimal"/>
      <w:lvlText w:val="%1)"/>
      <w:lvlJc w:val="left"/>
      <w:pPr>
        <w:ind w:left="502" w:hanging="360"/>
      </w:pPr>
      <w:rPr>
        <w:b w:val="0"/>
      </w:rPr>
    </w:lvl>
    <w:lvl w:ilvl="1" w:tplc="04260019">
      <w:start w:val="1"/>
      <w:numFmt w:val="lowerLetter"/>
      <w:lvlText w:val="%2."/>
      <w:lvlJc w:val="left"/>
      <w:pPr>
        <w:ind w:left="1440" w:hanging="360"/>
      </w:pPr>
    </w:lvl>
    <w:lvl w:ilvl="2" w:tplc="D9563FF0">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6C05B1E"/>
    <w:multiLevelType w:val="hybridMultilevel"/>
    <w:tmpl w:val="CED0813E"/>
    <w:lvl w:ilvl="0" w:tplc="04260001">
      <w:start w:val="1"/>
      <w:numFmt w:val="bullet"/>
      <w:lvlText w:val=""/>
      <w:lvlJc w:val="left"/>
      <w:pPr>
        <w:ind w:left="720" w:hanging="360"/>
      </w:pPr>
      <w:rPr>
        <w:rFonts w:ascii="Symbol" w:hAnsi="Symbol" w:hint="default"/>
        <w:b w:val="0"/>
      </w:rPr>
    </w:lvl>
    <w:lvl w:ilvl="1" w:tplc="04260019">
      <w:start w:val="1"/>
      <w:numFmt w:val="lowerLetter"/>
      <w:lvlText w:val="%2."/>
      <w:lvlJc w:val="left"/>
      <w:pPr>
        <w:ind w:left="1440" w:hanging="360"/>
      </w:pPr>
    </w:lvl>
    <w:lvl w:ilvl="2" w:tplc="D9563FF0">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BD71D90"/>
    <w:multiLevelType w:val="hybridMultilevel"/>
    <w:tmpl w:val="B630F7B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5E9C525B"/>
    <w:multiLevelType w:val="hybridMultilevel"/>
    <w:tmpl w:val="0BE6EE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65204152"/>
    <w:multiLevelType w:val="hybridMultilevel"/>
    <w:tmpl w:val="641634B0"/>
    <w:lvl w:ilvl="0" w:tplc="04260001">
      <w:start w:val="1"/>
      <w:numFmt w:val="bullet"/>
      <w:lvlText w:val=""/>
      <w:lvlJc w:val="left"/>
      <w:pPr>
        <w:ind w:left="720" w:hanging="360"/>
      </w:pPr>
      <w:rPr>
        <w:rFonts w:ascii="Symbol" w:hAnsi="Symbol" w:hint="default"/>
        <w:b w:val="0"/>
      </w:rPr>
    </w:lvl>
    <w:lvl w:ilvl="1" w:tplc="04260019">
      <w:start w:val="1"/>
      <w:numFmt w:val="lowerLetter"/>
      <w:lvlText w:val="%2."/>
      <w:lvlJc w:val="left"/>
      <w:pPr>
        <w:ind w:left="1440" w:hanging="360"/>
      </w:pPr>
    </w:lvl>
    <w:lvl w:ilvl="2" w:tplc="D9563FF0">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5831A49"/>
    <w:multiLevelType w:val="hybridMultilevel"/>
    <w:tmpl w:val="E4728716"/>
    <w:lvl w:ilvl="0" w:tplc="D526A372">
      <w:start w:val="1"/>
      <w:numFmt w:val="bullet"/>
      <w:lvlText w:val="-"/>
      <w:lvlJc w:val="left"/>
      <w:pPr>
        <w:ind w:left="1080" w:hanging="360"/>
      </w:pPr>
      <w:rPr>
        <w:rFonts w:ascii="Calibri" w:eastAsia="Calibri" w:hAnsi="Calibri"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8">
    <w:nsid w:val="769D4295"/>
    <w:multiLevelType w:val="hybridMultilevel"/>
    <w:tmpl w:val="8C340F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5"/>
  </w:num>
  <w:num w:numId="6">
    <w:abstractNumId w:val="8"/>
  </w:num>
  <w:num w:numId="7">
    <w:abstractNumId w:val="5"/>
  </w:num>
  <w:num w:numId="8">
    <w:abstractNumId w:val="0"/>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7"/>
  </w:num>
  <w:num w:numId="13">
    <w:abstractNumId w:val="12"/>
  </w:num>
  <w:num w:numId="14">
    <w:abstractNumId w:val="14"/>
  </w:num>
  <w:num w:numId="15">
    <w:abstractNumId w:val="3"/>
  </w:num>
  <w:num w:numId="16">
    <w:abstractNumId w:val="10"/>
  </w:num>
  <w:num w:numId="17">
    <w:abstractNumId w:val="6"/>
  </w:num>
  <w:num w:numId="18">
    <w:abstractNumId w:val="4"/>
  </w:num>
  <w:num w:numId="19">
    <w:abstractNumId w:val="2"/>
  </w:num>
  <w:num w:numId="20">
    <w:abstractNumId w:val="11"/>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2A"/>
    <w:rsid w:val="000B6233"/>
    <w:rsid w:val="001863B8"/>
    <w:rsid w:val="002A0731"/>
    <w:rsid w:val="002B40EF"/>
    <w:rsid w:val="0035756E"/>
    <w:rsid w:val="003827E6"/>
    <w:rsid w:val="0056672A"/>
    <w:rsid w:val="005F32AD"/>
    <w:rsid w:val="00793E21"/>
    <w:rsid w:val="007C4688"/>
    <w:rsid w:val="00804566"/>
    <w:rsid w:val="00830C17"/>
    <w:rsid w:val="00890C66"/>
    <w:rsid w:val="009D50E9"/>
    <w:rsid w:val="00B40D1F"/>
    <w:rsid w:val="00C04EC1"/>
    <w:rsid w:val="00CE5C04"/>
    <w:rsid w:val="00D67C45"/>
    <w:rsid w:val="00E45151"/>
    <w:rsid w:val="00E86892"/>
    <w:rsid w:val="00FD23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717C3-BB01-4D08-BBBA-A8D5556A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23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233"/>
    <w:rPr>
      <w:color w:val="0000FF"/>
      <w:u w:val="single"/>
    </w:rPr>
  </w:style>
  <w:style w:type="paragraph" w:styleId="FootnoteText">
    <w:name w:val="footnote text"/>
    <w:basedOn w:val="Normal"/>
    <w:link w:val="FootnoteTextChar"/>
    <w:uiPriority w:val="99"/>
    <w:semiHidden/>
    <w:unhideWhenUsed/>
    <w:rsid w:val="000B6233"/>
    <w:rPr>
      <w:sz w:val="20"/>
      <w:szCs w:val="20"/>
    </w:rPr>
  </w:style>
  <w:style w:type="character" w:customStyle="1" w:styleId="FootnoteTextChar">
    <w:name w:val="Footnote Text Char"/>
    <w:basedOn w:val="DefaultParagraphFont"/>
    <w:link w:val="FootnoteText"/>
    <w:uiPriority w:val="99"/>
    <w:semiHidden/>
    <w:rsid w:val="000B6233"/>
    <w:rPr>
      <w:rFonts w:ascii="Calibri" w:hAnsi="Calibri" w:cs="Times New Roman"/>
      <w:sz w:val="20"/>
      <w:szCs w:val="20"/>
    </w:rPr>
  </w:style>
  <w:style w:type="paragraph" w:styleId="ListParagraph">
    <w:name w:val="List Paragraph"/>
    <w:basedOn w:val="Normal"/>
    <w:uiPriority w:val="34"/>
    <w:qFormat/>
    <w:rsid w:val="000B6233"/>
    <w:pPr>
      <w:spacing w:after="200" w:line="276" w:lineRule="auto"/>
      <w:ind w:left="720"/>
      <w:contextualSpacing/>
    </w:pPr>
  </w:style>
  <w:style w:type="character" w:styleId="FootnoteReference">
    <w:name w:val="footnote reference"/>
    <w:basedOn w:val="DefaultParagraphFont"/>
    <w:uiPriority w:val="99"/>
    <w:semiHidden/>
    <w:unhideWhenUsed/>
    <w:rsid w:val="000B6233"/>
    <w:rPr>
      <w:vertAlign w:val="superscript"/>
    </w:rPr>
  </w:style>
  <w:style w:type="table" w:styleId="TableGrid">
    <w:name w:val="Table Grid"/>
    <w:basedOn w:val="TableNormal"/>
    <w:uiPriority w:val="39"/>
    <w:rsid w:val="00FD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D2322"/>
    <w:rPr>
      <w:rFonts w:cstheme="minorBidi"/>
      <w:szCs w:val="21"/>
    </w:rPr>
  </w:style>
  <w:style w:type="character" w:customStyle="1" w:styleId="PlainTextChar">
    <w:name w:val="Plain Text Char"/>
    <w:basedOn w:val="DefaultParagraphFont"/>
    <w:link w:val="PlainText"/>
    <w:uiPriority w:val="99"/>
    <w:semiHidden/>
    <w:rsid w:val="00FD2322"/>
    <w:rPr>
      <w:rFonts w:ascii="Calibri" w:hAnsi="Calibri"/>
      <w:szCs w:val="21"/>
    </w:rPr>
  </w:style>
  <w:style w:type="paragraph" w:styleId="Header">
    <w:name w:val="header"/>
    <w:basedOn w:val="Normal"/>
    <w:link w:val="HeaderChar"/>
    <w:uiPriority w:val="99"/>
    <w:unhideWhenUsed/>
    <w:rsid w:val="00C04EC1"/>
    <w:pPr>
      <w:tabs>
        <w:tab w:val="center" w:pos="4153"/>
        <w:tab w:val="right" w:pos="8306"/>
      </w:tabs>
    </w:pPr>
  </w:style>
  <w:style w:type="character" w:customStyle="1" w:styleId="HeaderChar">
    <w:name w:val="Header Char"/>
    <w:basedOn w:val="DefaultParagraphFont"/>
    <w:link w:val="Header"/>
    <w:uiPriority w:val="99"/>
    <w:rsid w:val="00C04EC1"/>
    <w:rPr>
      <w:rFonts w:ascii="Calibri" w:hAnsi="Calibri" w:cs="Times New Roman"/>
    </w:rPr>
  </w:style>
  <w:style w:type="paragraph" w:styleId="Footer">
    <w:name w:val="footer"/>
    <w:basedOn w:val="Normal"/>
    <w:link w:val="FooterChar"/>
    <w:uiPriority w:val="99"/>
    <w:unhideWhenUsed/>
    <w:rsid w:val="00C04EC1"/>
    <w:pPr>
      <w:tabs>
        <w:tab w:val="center" w:pos="4153"/>
        <w:tab w:val="right" w:pos="8306"/>
      </w:tabs>
    </w:pPr>
  </w:style>
  <w:style w:type="character" w:customStyle="1" w:styleId="FooterChar">
    <w:name w:val="Footer Char"/>
    <w:basedOn w:val="DefaultParagraphFont"/>
    <w:link w:val="Footer"/>
    <w:uiPriority w:val="99"/>
    <w:rsid w:val="00C04EC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0290">
      <w:bodyDiv w:val="1"/>
      <w:marLeft w:val="0"/>
      <w:marRight w:val="0"/>
      <w:marTop w:val="0"/>
      <w:marBottom w:val="0"/>
      <w:divBdr>
        <w:top w:val="none" w:sz="0" w:space="0" w:color="auto"/>
        <w:left w:val="none" w:sz="0" w:space="0" w:color="auto"/>
        <w:bottom w:val="none" w:sz="0" w:space="0" w:color="auto"/>
        <w:right w:val="none" w:sz="0" w:space="0" w:color="auto"/>
      </w:divBdr>
    </w:div>
    <w:div w:id="300962463">
      <w:bodyDiv w:val="1"/>
      <w:marLeft w:val="0"/>
      <w:marRight w:val="0"/>
      <w:marTop w:val="0"/>
      <w:marBottom w:val="0"/>
      <w:divBdr>
        <w:top w:val="none" w:sz="0" w:space="0" w:color="auto"/>
        <w:left w:val="none" w:sz="0" w:space="0" w:color="auto"/>
        <w:bottom w:val="none" w:sz="0" w:space="0" w:color="auto"/>
        <w:right w:val="none" w:sz="0" w:space="0" w:color="auto"/>
      </w:divBdr>
    </w:div>
    <w:div w:id="869538236">
      <w:bodyDiv w:val="1"/>
      <w:marLeft w:val="0"/>
      <w:marRight w:val="0"/>
      <w:marTop w:val="0"/>
      <w:marBottom w:val="0"/>
      <w:divBdr>
        <w:top w:val="none" w:sz="0" w:space="0" w:color="auto"/>
        <w:left w:val="none" w:sz="0" w:space="0" w:color="auto"/>
        <w:bottom w:val="none" w:sz="0" w:space="0" w:color="auto"/>
        <w:right w:val="none" w:sz="0" w:space="0" w:color="auto"/>
      </w:divBdr>
    </w:div>
    <w:div w:id="1069578227">
      <w:bodyDiv w:val="1"/>
      <w:marLeft w:val="0"/>
      <w:marRight w:val="0"/>
      <w:marTop w:val="0"/>
      <w:marBottom w:val="0"/>
      <w:divBdr>
        <w:top w:val="none" w:sz="0" w:space="0" w:color="auto"/>
        <w:left w:val="none" w:sz="0" w:space="0" w:color="auto"/>
        <w:bottom w:val="none" w:sz="0" w:space="0" w:color="auto"/>
        <w:right w:val="none" w:sz="0" w:space="0" w:color="auto"/>
      </w:divBdr>
    </w:div>
    <w:div w:id="1208646185">
      <w:bodyDiv w:val="1"/>
      <w:marLeft w:val="0"/>
      <w:marRight w:val="0"/>
      <w:marTop w:val="0"/>
      <w:marBottom w:val="0"/>
      <w:divBdr>
        <w:top w:val="none" w:sz="0" w:space="0" w:color="auto"/>
        <w:left w:val="none" w:sz="0" w:space="0" w:color="auto"/>
        <w:bottom w:val="none" w:sz="0" w:space="0" w:color="auto"/>
        <w:right w:val="none" w:sz="0" w:space="0" w:color="auto"/>
      </w:divBdr>
    </w:div>
    <w:div w:id="1540707574">
      <w:bodyDiv w:val="1"/>
      <w:marLeft w:val="0"/>
      <w:marRight w:val="0"/>
      <w:marTop w:val="0"/>
      <w:marBottom w:val="0"/>
      <w:divBdr>
        <w:top w:val="none" w:sz="0" w:space="0" w:color="auto"/>
        <w:left w:val="none" w:sz="0" w:space="0" w:color="auto"/>
        <w:bottom w:val="none" w:sz="0" w:space="0" w:color="auto"/>
        <w:right w:val="none" w:sz="0" w:space="0" w:color="auto"/>
      </w:divBdr>
    </w:div>
    <w:div w:id="1581020474">
      <w:bodyDiv w:val="1"/>
      <w:marLeft w:val="0"/>
      <w:marRight w:val="0"/>
      <w:marTop w:val="0"/>
      <w:marBottom w:val="0"/>
      <w:divBdr>
        <w:top w:val="none" w:sz="0" w:space="0" w:color="auto"/>
        <w:left w:val="none" w:sz="0" w:space="0" w:color="auto"/>
        <w:bottom w:val="none" w:sz="0" w:space="0" w:color="auto"/>
        <w:right w:val="none" w:sz="0" w:space="0" w:color="auto"/>
      </w:divBdr>
    </w:div>
    <w:div w:id="1666930003">
      <w:bodyDiv w:val="1"/>
      <w:marLeft w:val="0"/>
      <w:marRight w:val="0"/>
      <w:marTop w:val="0"/>
      <w:marBottom w:val="0"/>
      <w:divBdr>
        <w:top w:val="none" w:sz="0" w:space="0" w:color="auto"/>
        <w:left w:val="none" w:sz="0" w:space="0" w:color="auto"/>
        <w:bottom w:val="none" w:sz="0" w:space="0" w:color="auto"/>
        <w:right w:val="none" w:sz="0" w:space="0" w:color="auto"/>
      </w:divBdr>
    </w:div>
    <w:div w:id="1710491766">
      <w:bodyDiv w:val="1"/>
      <w:marLeft w:val="0"/>
      <w:marRight w:val="0"/>
      <w:marTop w:val="0"/>
      <w:marBottom w:val="0"/>
      <w:divBdr>
        <w:top w:val="none" w:sz="0" w:space="0" w:color="auto"/>
        <w:left w:val="none" w:sz="0" w:space="0" w:color="auto"/>
        <w:bottom w:val="none" w:sz="0" w:space="0" w:color="auto"/>
        <w:right w:val="none" w:sz="0" w:space="0" w:color="auto"/>
      </w:divBdr>
    </w:div>
    <w:div w:id="1800295438">
      <w:bodyDiv w:val="1"/>
      <w:marLeft w:val="0"/>
      <w:marRight w:val="0"/>
      <w:marTop w:val="0"/>
      <w:marBottom w:val="0"/>
      <w:divBdr>
        <w:top w:val="none" w:sz="0" w:space="0" w:color="auto"/>
        <w:left w:val="none" w:sz="0" w:space="0" w:color="auto"/>
        <w:bottom w:val="none" w:sz="0" w:space="0" w:color="auto"/>
        <w:right w:val="none" w:sz="0" w:space="0" w:color="auto"/>
      </w:divBdr>
    </w:div>
    <w:div w:id="1879312567">
      <w:bodyDiv w:val="1"/>
      <w:marLeft w:val="0"/>
      <w:marRight w:val="0"/>
      <w:marTop w:val="0"/>
      <w:marBottom w:val="0"/>
      <w:divBdr>
        <w:top w:val="none" w:sz="0" w:space="0" w:color="auto"/>
        <w:left w:val="none" w:sz="0" w:space="0" w:color="auto"/>
        <w:bottom w:val="none" w:sz="0" w:space="0" w:color="auto"/>
        <w:right w:val="none" w:sz="0" w:space="0" w:color="auto"/>
      </w:divBdr>
    </w:div>
    <w:div w:id="2067028098">
      <w:bodyDiv w:val="1"/>
      <w:marLeft w:val="0"/>
      <w:marRight w:val="0"/>
      <w:marTop w:val="0"/>
      <w:marBottom w:val="0"/>
      <w:divBdr>
        <w:top w:val="none" w:sz="0" w:space="0" w:color="auto"/>
        <w:left w:val="none" w:sz="0" w:space="0" w:color="auto"/>
        <w:bottom w:val="none" w:sz="0" w:space="0" w:color="auto"/>
        <w:right w:val="none" w:sz="0" w:space="0" w:color="auto"/>
      </w:divBdr>
    </w:div>
    <w:div w:id="20777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mk.gov.lv/mk/tap/?pid=40291636" TargetMode="External"/><Relationship Id="rId3" Type="http://schemas.openxmlformats.org/officeDocument/2006/relationships/settings" Target="settings.xml"/><Relationship Id="rId7" Type="http://schemas.openxmlformats.org/officeDocument/2006/relationships/hyperlink" Target="http://tap.mk.gov.lv/mk/tap/?pid=402916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iaa.gov.lv/lat/zinatnes_inovacijas_progr/viedas_specializacijas_iev/vieda_specializacija_jaun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4C410D22</Template>
  <TotalTime>0</TotalTime>
  <Pages>9</Pages>
  <Words>11776</Words>
  <Characters>6713</Characters>
  <Application>Microsoft Office Word</Application>
  <DocSecurity>4</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Dambe</dc:creator>
  <cp:lastModifiedBy>Ieva Luste</cp:lastModifiedBy>
  <cp:revision>2</cp:revision>
  <dcterms:created xsi:type="dcterms:W3CDTF">2016-02-22T13:18:00Z</dcterms:created>
  <dcterms:modified xsi:type="dcterms:W3CDTF">2016-02-22T13:18:00Z</dcterms:modified>
</cp:coreProperties>
</file>