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194" w:rsidRDefault="00156194" w:rsidP="00156194">
      <w:pPr>
        <w:rPr>
          <w:rFonts w:ascii="Times New Roman" w:hAnsi="Times New Roman"/>
          <w:b/>
          <w:sz w:val="24"/>
          <w:szCs w:val="24"/>
          <w:u w:val="single"/>
        </w:rPr>
      </w:pPr>
      <w:r w:rsidRPr="00C04EC1">
        <w:rPr>
          <w:rFonts w:ascii="Times New Roman" w:hAnsi="Times New Roman"/>
          <w:b/>
          <w:sz w:val="24"/>
          <w:szCs w:val="24"/>
          <w:u w:val="single"/>
        </w:rPr>
        <w:t>Projekta iesnieguma sagatavošanas, iesniegšanas un vērtēšanas jautājumi</w:t>
      </w:r>
    </w:p>
    <w:p w:rsidR="00156194" w:rsidRDefault="00156194" w:rsidP="00156194"/>
    <w:p w:rsidR="00156194" w:rsidRPr="00156194" w:rsidRDefault="00156194" w:rsidP="00156194">
      <w:pPr>
        <w:pStyle w:val="ListParagraph"/>
        <w:rPr>
          <w:rFonts w:ascii="Times New Roman" w:hAnsi="Times New Roman"/>
        </w:rPr>
      </w:pPr>
    </w:p>
    <w:p w:rsidR="003F5FDF" w:rsidRDefault="00DD2727" w:rsidP="00DD2727">
      <w:pPr>
        <w:spacing w:after="160" w:line="259" w:lineRule="auto"/>
        <w:ind w:firstLine="720"/>
        <w:rPr>
          <w:rFonts w:asciiTheme="minorHAnsi" w:hAnsiTheme="minorHAnsi"/>
          <w:b/>
          <w:u w:val="single"/>
        </w:rPr>
      </w:pPr>
      <w:r>
        <w:rPr>
          <w:rFonts w:asciiTheme="minorHAnsi" w:hAnsiTheme="minorHAnsi"/>
          <w:b/>
          <w:u w:val="single"/>
        </w:rPr>
        <w:t>Jautājums:</w:t>
      </w:r>
    </w:p>
    <w:p w:rsidR="003F5FDF" w:rsidRDefault="003F5FDF" w:rsidP="004C7965">
      <w:pPr>
        <w:pStyle w:val="ListParagraph"/>
        <w:numPr>
          <w:ilvl w:val="0"/>
          <w:numId w:val="4"/>
        </w:numPr>
        <w:contextualSpacing w:val="0"/>
        <w:jc w:val="both"/>
      </w:pPr>
      <w:r>
        <w:t xml:space="preserve">Pielikuma - Kompetences centra pētniecības projektu apraksta </w:t>
      </w:r>
      <w:proofErr w:type="spellStart"/>
      <w:r>
        <w:t>standartforma</w:t>
      </w:r>
      <w:proofErr w:type="spellEnd"/>
      <w:r>
        <w:t xml:space="preserve"> 10.punktā jānorāda finansējuma intensitāte. Vai šeit jānorāda aprēķinos izmaksātās intensitātes (atsevišķi TEP, RP un EI likmes) vai vidējā intensitāte (ERAF grants / attiecināmās izmaksas)?</w:t>
      </w:r>
    </w:p>
    <w:p w:rsidR="003F5FDF" w:rsidRDefault="003F5FDF" w:rsidP="004C7965">
      <w:pPr>
        <w:pStyle w:val="ListParagraph"/>
        <w:contextualSpacing w:val="0"/>
        <w:jc w:val="both"/>
      </w:pPr>
    </w:p>
    <w:p w:rsidR="003F5FDF" w:rsidRDefault="003F5FDF" w:rsidP="004C7965">
      <w:pPr>
        <w:pStyle w:val="ListParagraph"/>
        <w:contextualSpacing w:val="0"/>
        <w:jc w:val="both"/>
      </w:pPr>
      <w:r w:rsidRPr="004C7965">
        <w:rPr>
          <w:b/>
        </w:rPr>
        <w:t>Atbilde:</w:t>
      </w:r>
      <w:r w:rsidRPr="004C7965">
        <w:t xml:space="preserve"> Projekta apraksta </w:t>
      </w:r>
      <w:proofErr w:type="spellStart"/>
      <w:r w:rsidRPr="004C7965">
        <w:t>standartformas</w:t>
      </w:r>
      <w:proofErr w:type="spellEnd"/>
      <w:r w:rsidRPr="004C7965">
        <w:t xml:space="preserve"> 10.punktā norāda projektam piemēroto intensitāti atbilstoši MK noteikumu Nr.2 68.punktam atsevišķi rūpnieciskajiem pētījumiem, eksperimentālajām izstrādnēm, tehni</w:t>
      </w:r>
      <w:r w:rsidR="00940E77" w:rsidRPr="004C7965">
        <w:t xml:space="preserve">ski ekonomiskajai </w:t>
      </w:r>
      <w:proofErr w:type="spellStart"/>
      <w:r w:rsidR="00940E77" w:rsidRPr="004C7965">
        <w:t>priekšizpētei</w:t>
      </w:r>
      <w:proofErr w:type="spellEnd"/>
      <w:r w:rsidR="00940E77" w:rsidRPr="004C7965">
        <w:t>.</w:t>
      </w:r>
      <w:r w:rsidR="00940E77">
        <w:t xml:space="preserve"> </w:t>
      </w:r>
    </w:p>
    <w:p w:rsidR="00DD2727" w:rsidRDefault="00DD2727" w:rsidP="004C7965">
      <w:pPr>
        <w:pStyle w:val="ListParagraph"/>
        <w:contextualSpacing w:val="0"/>
        <w:jc w:val="both"/>
      </w:pPr>
    </w:p>
    <w:p w:rsidR="00940E77" w:rsidRPr="00DD2727" w:rsidRDefault="00DD2727" w:rsidP="00DD2727">
      <w:pPr>
        <w:ind w:firstLine="720"/>
        <w:jc w:val="both"/>
        <w:rPr>
          <w:b/>
          <w:u w:val="single"/>
        </w:rPr>
      </w:pPr>
      <w:r w:rsidRPr="00DD2727">
        <w:rPr>
          <w:b/>
          <w:u w:val="single"/>
        </w:rPr>
        <w:t xml:space="preserve">Jautājums: </w:t>
      </w:r>
    </w:p>
    <w:p w:rsidR="00DD2727" w:rsidRDefault="00DD2727" w:rsidP="004C7965">
      <w:pPr>
        <w:pStyle w:val="ListParagraph"/>
        <w:contextualSpacing w:val="0"/>
        <w:jc w:val="both"/>
      </w:pPr>
    </w:p>
    <w:p w:rsidR="003F5FDF" w:rsidRDefault="003F5FDF" w:rsidP="004C7965">
      <w:pPr>
        <w:pStyle w:val="ListParagraph"/>
        <w:numPr>
          <w:ilvl w:val="0"/>
          <w:numId w:val="4"/>
        </w:numPr>
        <w:contextualSpacing w:val="0"/>
        <w:jc w:val="both"/>
      </w:pPr>
      <w:r>
        <w:t>Publicētajās 1.aprīļa atbildēs uz jautājumiem minēts, ka 4.5 kvalitātes kritērijā tiek vērtēti dati arī par tiem KC dalībniekiem, kas nav iesaistīti pētījumu īstenošanā. Vai tas attiecas arī uz kritērijiem 4.1, 4.2 un 4.4?</w:t>
      </w:r>
    </w:p>
    <w:p w:rsidR="003F5FDF" w:rsidRDefault="003F5FDF" w:rsidP="004C7965">
      <w:pPr>
        <w:jc w:val="both"/>
        <w:rPr>
          <w:rFonts w:asciiTheme="minorHAnsi" w:hAnsiTheme="minorHAnsi"/>
          <w:b/>
          <w:u w:val="single"/>
        </w:rPr>
      </w:pPr>
    </w:p>
    <w:p w:rsidR="003F5FDF" w:rsidRDefault="00940E77" w:rsidP="004C7965">
      <w:pPr>
        <w:ind w:firstLine="720"/>
        <w:jc w:val="both"/>
        <w:rPr>
          <w:rFonts w:asciiTheme="minorHAnsi" w:hAnsiTheme="minorHAnsi"/>
        </w:rPr>
      </w:pPr>
      <w:r w:rsidRPr="004C7965">
        <w:rPr>
          <w:rFonts w:asciiTheme="minorHAnsi" w:hAnsiTheme="minorHAnsi"/>
          <w:b/>
        </w:rPr>
        <w:t>Atbilde:</w:t>
      </w:r>
      <w:r w:rsidRPr="004C7965">
        <w:rPr>
          <w:rFonts w:asciiTheme="minorHAnsi" w:hAnsiTheme="minorHAnsi"/>
        </w:rPr>
        <w:t xml:space="preserve"> Jā</w:t>
      </w:r>
    </w:p>
    <w:p w:rsidR="00DD2727" w:rsidRDefault="00DD2727" w:rsidP="004C7965">
      <w:pPr>
        <w:ind w:firstLine="720"/>
        <w:jc w:val="both"/>
        <w:rPr>
          <w:rFonts w:asciiTheme="minorHAnsi" w:hAnsiTheme="minorHAnsi"/>
        </w:rPr>
      </w:pPr>
    </w:p>
    <w:p w:rsidR="008B24B6" w:rsidRPr="00DD2727" w:rsidRDefault="00DD2727" w:rsidP="00940E77">
      <w:pPr>
        <w:ind w:firstLine="720"/>
        <w:rPr>
          <w:rFonts w:asciiTheme="minorHAnsi" w:hAnsiTheme="minorHAnsi"/>
          <w:b/>
          <w:u w:val="single"/>
        </w:rPr>
      </w:pPr>
      <w:r w:rsidRPr="00DD2727">
        <w:rPr>
          <w:rFonts w:asciiTheme="minorHAnsi" w:hAnsiTheme="minorHAnsi"/>
          <w:b/>
          <w:u w:val="single"/>
        </w:rPr>
        <w:t xml:space="preserve">Jautājums: </w:t>
      </w:r>
    </w:p>
    <w:p w:rsidR="008B24B6" w:rsidRPr="004C7965" w:rsidRDefault="004C7965" w:rsidP="008B24B6">
      <w:pPr>
        <w:pStyle w:val="ListParagraph"/>
        <w:numPr>
          <w:ilvl w:val="0"/>
          <w:numId w:val="4"/>
        </w:numPr>
        <w:rPr>
          <w:rFonts w:asciiTheme="minorHAnsi" w:hAnsiTheme="minorHAnsi"/>
        </w:rPr>
      </w:pPr>
      <w:r>
        <w:t>J</w:t>
      </w:r>
      <w:r w:rsidR="008B24B6">
        <w:t>a tiek vērtēti arī dalībnieki 4.1, 4.2., 4.4. un 4.5 kritērijos, tad vai un kā Jūs vērtēsiet nozares asociāciju, kas ir Kompetences centra dalībnieks</w:t>
      </w:r>
      <w:r>
        <w:t>.</w:t>
      </w:r>
    </w:p>
    <w:p w:rsidR="004C7965" w:rsidRDefault="004C7965" w:rsidP="004C7965">
      <w:pPr>
        <w:pStyle w:val="ListParagraph"/>
      </w:pPr>
    </w:p>
    <w:p w:rsidR="00DB1D43" w:rsidRDefault="00DB1D43" w:rsidP="00DB1D43">
      <w:pPr>
        <w:pStyle w:val="ListParagraph"/>
        <w:jc w:val="both"/>
      </w:pPr>
      <w:r w:rsidRPr="00DB1D43">
        <w:rPr>
          <w:b/>
        </w:rPr>
        <w:t>Atbilde:</w:t>
      </w:r>
      <w:r>
        <w:t xml:space="preserve"> </w:t>
      </w:r>
      <w:r w:rsidRPr="00DB1D43">
        <w:t>4.1.; 4.2.; 4.4. un 4.5. kritērijos vērtēs tos nozares sadarbības partnerus, t.sk., KC dibinātājus - potenciālos pētījumu īstenotājus un projekta sadarbības partnerus, kuri būs norādīti nozaru sadarbības partneru sarakstā, kas pievienots pie projekta iesnieguma. Ja KC dibinātājs ir asociācija, tad KC var izvēlēties, kurus no asociācijas biedriem (potenciālos pētījumu īstenotājus) norādīt nozaru sadarbības partneru sarakstā un kuri attiecīgi tiks vērtēti.</w:t>
      </w:r>
    </w:p>
    <w:p w:rsidR="00AB4E0E" w:rsidRDefault="00AB4E0E" w:rsidP="00DB1D43">
      <w:pPr>
        <w:pStyle w:val="ListParagraph"/>
        <w:jc w:val="both"/>
      </w:pPr>
    </w:p>
    <w:p w:rsidR="00AB4E0E" w:rsidRPr="00DD2727" w:rsidRDefault="00DD2727" w:rsidP="00DB1D43">
      <w:pPr>
        <w:pStyle w:val="ListParagraph"/>
        <w:jc w:val="both"/>
        <w:rPr>
          <w:b/>
          <w:u w:val="single"/>
        </w:rPr>
      </w:pPr>
      <w:r w:rsidRPr="00DD2727">
        <w:rPr>
          <w:b/>
          <w:u w:val="single"/>
        </w:rPr>
        <w:t xml:space="preserve">Jautājums: </w:t>
      </w:r>
    </w:p>
    <w:p w:rsidR="00AB4E0E" w:rsidRPr="00455D4C" w:rsidRDefault="00AB4E0E" w:rsidP="00AB4E0E">
      <w:pPr>
        <w:pStyle w:val="ListParagraph"/>
        <w:numPr>
          <w:ilvl w:val="0"/>
          <w:numId w:val="4"/>
        </w:numPr>
      </w:pPr>
      <w:r w:rsidRPr="00455D4C">
        <w:t>Papildus jautājums – 2.jautājumā Jūs atbildat, ka tiks vērtēti visi dalībnieki, savukārt no 3.jautājuma atbildes izriet, ka tikai tos, kas būs nozaru sadarbības partneru sarakstā. Kurš tad no šiem variantiem ir pareizais?</w:t>
      </w:r>
    </w:p>
    <w:p w:rsidR="00AB4E0E" w:rsidRDefault="00AB4E0E" w:rsidP="00DB1D43">
      <w:pPr>
        <w:pStyle w:val="ListParagraph"/>
        <w:jc w:val="both"/>
      </w:pPr>
    </w:p>
    <w:p w:rsidR="00AB4E0E" w:rsidRDefault="00AB4E0E" w:rsidP="00DD2727">
      <w:pPr>
        <w:ind w:left="720"/>
        <w:jc w:val="both"/>
      </w:pPr>
      <w:r w:rsidRPr="00C9231B">
        <w:rPr>
          <w:b/>
        </w:rPr>
        <w:t>Atbilde:</w:t>
      </w:r>
      <w:r>
        <w:t xml:space="preserve">  Ar šo paskaidrojam, ka 4.1.; 4.2.; 4.4. un 4.5. kritērijos vērtēs VISUS komersanti, kas tiks norādīti nozares sadarbības partneru sarakstā. Ja KC dibinātāji ir tikai komersanti, tad nozares sadarbības partneru sarakstā norāda visus dibinātājus (neatkarīgi no tā, vai jau zināmi konkrēti pētījumi) un projekta sadarbības partnerus, kuriem ir konkrēti pētījumi.</w:t>
      </w:r>
    </w:p>
    <w:p w:rsidR="00AB4E0E" w:rsidRDefault="00AB4E0E" w:rsidP="00DD2727">
      <w:pPr>
        <w:ind w:left="720"/>
        <w:jc w:val="both"/>
      </w:pPr>
      <w:r>
        <w:t>Savukārt, ja KC dibinātājs (vai viens no dibinātājiem) ir asociācija, tad KC var izvēlēties, kurus no asociācijas biedriem (potenciālos pētījumu īstenotājus) norādīt nozaru sadarbības partneru sarakstā un kuri attiecīgi tiks vērtēti.</w:t>
      </w:r>
    </w:p>
    <w:p w:rsidR="00DD2727" w:rsidRDefault="00DD2727" w:rsidP="00C9231B">
      <w:pPr>
        <w:ind w:left="360"/>
        <w:jc w:val="both"/>
      </w:pPr>
    </w:p>
    <w:p w:rsidR="00DD2727" w:rsidRPr="00DD2727" w:rsidRDefault="00DD2727" w:rsidP="00DD2727">
      <w:pPr>
        <w:ind w:left="360" w:firstLine="360"/>
        <w:jc w:val="both"/>
        <w:rPr>
          <w:b/>
          <w:u w:val="single"/>
        </w:rPr>
      </w:pPr>
      <w:r w:rsidRPr="00DD2727">
        <w:rPr>
          <w:b/>
          <w:u w:val="single"/>
        </w:rPr>
        <w:t>Jautājums:</w:t>
      </w:r>
    </w:p>
    <w:p w:rsidR="00AB4E0E" w:rsidRPr="00DD2727" w:rsidRDefault="00AB4E0E" w:rsidP="00AB4E0E">
      <w:pPr>
        <w:rPr>
          <w:b/>
          <w:color w:val="1F497D"/>
        </w:rPr>
      </w:pPr>
    </w:p>
    <w:p w:rsidR="006F2105" w:rsidRPr="009630E5" w:rsidRDefault="00C9231B" w:rsidP="009630E5">
      <w:pPr>
        <w:pStyle w:val="ListParagraph"/>
        <w:numPr>
          <w:ilvl w:val="0"/>
          <w:numId w:val="4"/>
        </w:numPr>
        <w:jc w:val="both"/>
      </w:pPr>
      <w:r w:rsidRPr="009630E5">
        <w:t xml:space="preserve">Kāda ir metodika projekta vadības izmaksu aprēķināšanai uz projekta iesnieguma brīdi? - </w:t>
      </w:r>
      <w:r w:rsidRPr="009630E5">
        <w:br/>
      </w:r>
      <w:r w:rsidRPr="009630E5">
        <w:br/>
      </w:r>
      <w:r w:rsidRPr="009630E5">
        <w:lastRenderedPageBreak/>
        <w:t xml:space="preserve">1. vai mēs šobrīd ņemam visas projektā plānotās attiecināmās izmaksas (par visu periodu) un no tām rēķinām gada limitu, </w:t>
      </w:r>
    </w:p>
    <w:p w:rsidR="00C9231B" w:rsidRPr="009630E5" w:rsidRDefault="00C9231B" w:rsidP="009630E5">
      <w:pPr>
        <w:pStyle w:val="ListParagraph"/>
        <w:jc w:val="both"/>
        <w:rPr>
          <w:rFonts w:ascii="Times New Roman" w:hAnsi="Times New Roman"/>
        </w:rPr>
      </w:pPr>
      <w:r w:rsidRPr="009630E5">
        <w:t>2. ņemam vienā kalendārajā gadā plānotās attiecināmās izmaksas un no tām rēķinām attiecīgā gada limitu,</w:t>
      </w:r>
    </w:p>
    <w:p w:rsidR="00C9231B" w:rsidRPr="009630E5" w:rsidRDefault="00C9231B" w:rsidP="00DD2727">
      <w:pPr>
        <w:ind w:left="720"/>
        <w:jc w:val="both"/>
      </w:pPr>
      <w:r w:rsidRPr="009630E5">
        <w:t>3. liekam plānotās/vēlamās projekta vadības izmaksas un attiecināmā summa tiek rēķināta pēc fakta,</w:t>
      </w:r>
    </w:p>
    <w:p w:rsidR="00C9231B" w:rsidRPr="009630E5" w:rsidRDefault="00C9231B" w:rsidP="00DD2727">
      <w:pPr>
        <w:spacing w:after="240"/>
        <w:ind w:firstLine="720"/>
        <w:jc w:val="both"/>
      </w:pPr>
      <w:r w:rsidRPr="009630E5">
        <w:t>4. cits variants?</w:t>
      </w:r>
    </w:p>
    <w:p w:rsidR="00AB4E0E" w:rsidRPr="00DB1D43" w:rsidRDefault="00AB4E0E" w:rsidP="00DB1D43">
      <w:pPr>
        <w:pStyle w:val="ListParagraph"/>
        <w:jc w:val="both"/>
      </w:pPr>
    </w:p>
    <w:p w:rsidR="00717616" w:rsidRDefault="006F2105" w:rsidP="00DD2727">
      <w:pPr>
        <w:ind w:left="720"/>
        <w:jc w:val="both"/>
      </w:pPr>
      <w:r w:rsidRPr="009630E5">
        <w:rPr>
          <w:b/>
        </w:rPr>
        <w:t>Atbilde:</w:t>
      </w:r>
      <w:r>
        <w:rPr>
          <w:color w:val="FF0000"/>
        </w:rPr>
        <w:t xml:space="preserve">  </w:t>
      </w:r>
      <w:r w:rsidR="00717616">
        <w:t xml:space="preserve">Projekta vadības izmaksu limitu </w:t>
      </w:r>
      <w:r w:rsidR="00717616">
        <w:rPr>
          <w:u w:val="single"/>
        </w:rPr>
        <w:t>vienam projekta gadam</w:t>
      </w:r>
      <w:r w:rsidR="00717616">
        <w:t xml:space="preserve"> rēķina pie 24</w:t>
      </w:r>
      <w:r w:rsidR="00DD2727">
        <w:t> </w:t>
      </w:r>
      <w:r w:rsidR="00717616">
        <w:t xml:space="preserve">426 </w:t>
      </w:r>
      <w:proofErr w:type="spellStart"/>
      <w:r w:rsidR="00717616">
        <w:rPr>
          <w:i/>
          <w:iCs/>
        </w:rPr>
        <w:t>euro</w:t>
      </w:r>
      <w:proofErr w:type="spellEnd"/>
      <w:r w:rsidR="00717616">
        <w:t xml:space="preserve"> pieskaitot 0,64 % no projekta </w:t>
      </w:r>
      <w:r w:rsidR="00717616">
        <w:rPr>
          <w:b/>
          <w:bCs/>
          <w:u w:val="single"/>
        </w:rPr>
        <w:t>kopējām</w:t>
      </w:r>
      <w:r w:rsidR="00717616">
        <w:t xml:space="preserve"> tiešajām attiecināmajām izmaksām, neieskaitot tiešās projekta vadības personāla izmaksas. Aprēķinātais izmaksu ierobežojums ir summa gadā. Projektam, kas ilgst vairākus gadus, tiešo projekta vadības personāla izmaksu ierobežojums ir jāreizina ar attiecīgo gadu skaitu. Ja projekta īstenošanas laiks nav pilni gadi, tad par nepilno gadu izmaksu ierobežojumu aprēķina proporcionāli projekta īstenošanas pilnu mēnešu skaitam.</w:t>
      </w:r>
    </w:p>
    <w:p w:rsidR="00717616" w:rsidRDefault="00717616" w:rsidP="00DD2727">
      <w:pPr>
        <w:ind w:left="720"/>
        <w:jc w:val="both"/>
      </w:pPr>
      <w:r>
        <w:t xml:space="preserve">Projekta iesnieguma 3.pielikumā “Projekta budžeta kopsavilkums” norāda plānotās projekta vadības izmaksas par visu projekta periodu, nepārsniedzot noteikto KC un pētniecības projektu īstenotāja projekta vadības izmaksu limitu un KC pieļaujamo (piešķirto) </w:t>
      </w:r>
      <w:proofErr w:type="spellStart"/>
      <w:r>
        <w:rPr>
          <w:i/>
          <w:iCs/>
        </w:rPr>
        <w:t>de</w:t>
      </w:r>
      <w:proofErr w:type="spellEnd"/>
      <w:r>
        <w:rPr>
          <w:i/>
          <w:iCs/>
        </w:rPr>
        <w:t xml:space="preserve"> </w:t>
      </w:r>
      <w:proofErr w:type="spellStart"/>
      <w:r>
        <w:rPr>
          <w:i/>
          <w:iCs/>
        </w:rPr>
        <w:t>minimis</w:t>
      </w:r>
      <w:proofErr w:type="spellEnd"/>
      <w:r>
        <w:t xml:space="preserve"> apjomu. </w:t>
      </w:r>
    </w:p>
    <w:p w:rsidR="006A6E12" w:rsidRDefault="00717616" w:rsidP="00DD2727">
      <w:pPr>
        <w:ind w:left="720"/>
        <w:jc w:val="both"/>
        <w:rPr>
          <w:rFonts w:ascii="Times New Roman" w:hAnsi="Times New Roman"/>
          <w:sz w:val="24"/>
          <w:szCs w:val="24"/>
        </w:rPr>
      </w:pPr>
      <w:r>
        <w:t xml:space="preserve">Faktiskās projekta vadības izmaksas tiks vērtētas pēc līguma noslēgšanas ar KC pie iesniegtajiem starpposma maksājuma pieprasījumiem aprēķināto projekta vadības limitu ietvaros. Izmaksas, kas pārsniegs pieļaujamo KC un pētniecības projektu īstenotāju projekta vadības gada un KC arī </w:t>
      </w:r>
      <w:proofErr w:type="spellStart"/>
      <w:r>
        <w:rPr>
          <w:i/>
          <w:iCs/>
        </w:rPr>
        <w:t>de</w:t>
      </w:r>
      <w:proofErr w:type="spellEnd"/>
      <w:r>
        <w:rPr>
          <w:i/>
          <w:iCs/>
        </w:rPr>
        <w:t xml:space="preserve"> </w:t>
      </w:r>
      <w:proofErr w:type="spellStart"/>
      <w:r>
        <w:rPr>
          <w:i/>
          <w:iCs/>
        </w:rPr>
        <w:t>minimis</w:t>
      </w:r>
      <w:proofErr w:type="spellEnd"/>
      <w:r>
        <w:t xml:space="preserve"> limitus, netiks attiecinātas.</w:t>
      </w:r>
      <w:r w:rsidR="006F2105">
        <w:rPr>
          <w:rFonts w:ascii="Times New Roman" w:hAnsi="Times New Roman"/>
          <w:sz w:val="24"/>
          <w:szCs w:val="24"/>
        </w:rPr>
        <w:t xml:space="preserve"> </w:t>
      </w:r>
    </w:p>
    <w:p w:rsidR="006A6E12" w:rsidRDefault="006A6E12" w:rsidP="00DB1D43">
      <w:pPr>
        <w:jc w:val="both"/>
        <w:rPr>
          <w:rFonts w:ascii="Times New Roman" w:hAnsi="Times New Roman"/>
          <w:sz w:val="24"/>
          <w:szCs w:val="24"/>
        </w:rPr>
      </w:pPr>
    </w:p>
    <w:p w:rsidR="00DD2727" w:rsidRPr="00DD2727" w:rsidRDefault="00DD2727" w:rsidP="00DD2727">
      <w:pPr>
        <w:ind w:firstLine="720"/>
        <w:jc w:val="both"/>
        <w:rPr>
          <w:rFonts w:asciiTheme="minorHAnsi" w:hAnsiTheme="minorHAnsi"/>
          <w:b/>
          <w:u w:val="single"/>
        </w:rPr>
      </w:pPr>
      <w:r w:rsidRPr="00DD2727">
        <w:rPr>
          <w:rFonts w:asciiTheme="minorHAnsi" w:hAnsiTheme="minorHAnsi"/>
          <w:b/>
          <w:u w:val="single"/>
        </w:rPr>
        <w:t>Jautājums:</w:t>
      </w:r>
    </w:p>
    <w:p w:rsidR="006A6E12" w:rsidRPr="009630E5" w:rsidRDefault="006A6E12" w:rsidP="006A6E12">
      <w:pPr>
        <w:pStyle w:val="ListParagraph"/>
        <w:numPr>
          <w:ilvl w:val="0"/>
          <w:numId w:val="4"/>
        </w:numPr>
        <w:rPr>
          <w:rFonts w:asciiTheme="minorHAnsi" w:hAnsiTheme="minorHAnsi"/>
        </w:rPr>
      </w:pPr>
      <w:r w:rsidRPr="006A6E12">
        <w:rPr>
          <w:rFonts w:asciiTheme="minorHAnsi" w:hAnsiTheme="minorHAnsi"/>
        </w:rPr>
        <w:t>Kādai definīcijai jāatbilst  “jaunam produktam</w:t>
      </w:r>
      <w:r w:rsidRPr="009630E5">
        <w:rPr>
          <w:rFonts w:asciiTheme="minorHAnsi" w:hAnsiTheme="minorHAnsi"/>
        </w:rPr>
        <w:t>”</w:t>
      </w:r>
      <w:r w:rsidRPr="009630E5">
        <w:t xml:space="preserve"> ņemot vērā Centrālās statistikas pārvaldes informāciju</w:t>
      </w:r>
      <w:r w:rsidRPr="009630E5">
        <w:rPr>
          <w:rFonts w:asciiTheme="minorHAnsi" w:hAnsiTheme="minorHAnsi"/>
        </w:rPr>
        <w:t>? </w:t>
      </w:r>
    </w:p>
    <w:p w:rsidR="006A6E12" w:rsidRDefault="006A6E12" w:rsidP="006A6E12"/>
    <w:p w:rsidR="006A6E12" w:rsidRDefault="006A6E12" w:rsidP="006A6E12"/>
    <w:p w:rsidR="006A6E12" w:rsidRPr="00717616" w:rsidRDefault="006A6E12" w:rsidP="00DD2727">
      <w:pPr>
        <w:ind w:left="720"/>
        <w:jc w:val="both"/>
        <w:rPr>
          <w:bCs/>
        </w:rPr>
      </w:pPr>
      <w:r w:rsidRPr="00717616">
        <w:rPr>
          <w:b/>
        </w:rPr>
        <w:t>Atbilde:</w:t>
      </w:r>
      <w:r>
        <w:t xml:space="preserve"> </w:t>
      </w:r>
      <w:r w:rsidRPr="00717616">
        <w:rPr>
          <w:bCs/>
        </w:rPr>
        <w:t>Jauns produkts ir prece vai pakalpojums, kuru īpašības vai iecerētais izmantošanas veids ir jauns vai būtiski uzlabots. Tas ietver būtiskus tehnisko specifikāciju, komponentu un materiālu, izmantotās programmatūras, lietotājdraudzīguma vai citu funkcionālo īpašību uzlabojumus. Jauns produkts var tikt izstrādāts konkrētajā uzņēmumā vai citā uzņēmumā. Jaunam produktam jābūt jaunumam konkrētajā uzņēmumā, tam nav obligāti jābūt jaunumam tirgū.</w:t>
      </w:r>
    </w:p>
    <w:p w:rsidR="006A6E12" w:rsidRPr="00717616" w:rsidRDefault="006A6E12" w:rsidP="00DD2727">
      <w:pPr>
        <w:ind w:left="720"/>
        <w:jc w:val="both"/>
        <w:rPr>
          <w:bCs/>
        </w:rPr>
      </w:pPr>
      <w:r w:rsidRPr="00717616">
        <w:rPr>
          <w:bCs/>
        </w:rPr>
        <w:t>Papildus norādām, ka revidenta atzinumā jānorāda eksporta apjoms no tiem jaunajiem produktiem, par kuriem komersants jau ir sniedzis statistikas pārskatus Centrālai statistikas pārvaldei (ja tādi ir sniegti) un komersantam, kuram ir eksporta apjoms no jauniem produktiem, pārskatos jābūt norādītām P&amp;A izmaksām.</w:t>
      </w:r>
    </w:p>
    <w:p w:rsidR="00DD2727" w:rsidRDefault="006F2105" w:rsidP="00DD2727">
      <w:pPr>
        <w:spacing w:before="120" w:after="240"/>
        <w:ind w:left="720"/>
        <w:rPr>
          <w:color w:val="FF0000"/>
          <w:u w:val="single"/>
        </w:rPr>
      </w:pPr>
      <w:r w:rsidRPr="006F2105">
        <w:rPr>
          <w:color w:val="FF0000"/>
        </w:rPr>
        <w:br/>
      </w:r>
      <w:r w:rsidR="00D03A8C" w:rsidRPr="00DD2727">
        <w:rPr>
          <w:b/>
          <w:bCs/>
          <w:u w:val="single"/>
        </w:rPr>
        <w:t>Jautājums:</w:t>
      </w:r>
      <w:r w:rsidR="00D03A8C" w:rsidRPr="00DD2727">
        <w:rPr>
          <w:u w:val="single"/>
        </w:rPr>
        <w:t xml:space="preserve"> </w:t>
      </w:r>
    </w:p>
    <w:p w:rsidR="00D03A8C" w:rsidRDefault="00DD2727" w:rsidP="00DD2727">
      <w:pPr>
        <w:spacing w:before="120" w:after="240"/>
        <w:ind w:left="720" w:hanging="360"/>
      </w:pPr>
      <w:r>
        <w:t>7</w:t>
      </w:r>
      <w:r w:rsidR="00D03A8C">
        <w:t>. </w:t>
      </w:r>
      <w:r>
        <w:tab/>
      </w:r>
      <w:r w:rsidR="00D03A8C">
        <w:t>Situācija: Kompetences centrs ir SIA, kuras vienīgais dibinātājs ir biedrība, kas pastarpināti apkopo vairāk kā 100 neatkarīgus nozares komersantus ar kopējo strādājošo skaitu virs 11600 un kopējo apgrozījumu virs 1.9 miljardiem eiro. Pastarpināti tāpēc, ka biedrības tiešie biedri ir citas biedrības, kuru biedri savukārt ir neatkarīgi nozares komersanti.</w:t>
      </w:r>
    </w:p>
    <w:p w:rsidR="00D03A8C" w:rsidRDefault="00DD2727" w:rsidP="00DD2727">
      <w:pPr>
        <w:pStyle w:val="ListParagraph"/>
        <w:spacing w:before="120" w:after="100" w:afterAutospacing="1"/>
      </w:pPr>
      <w:r>
        <w:t>7</w:t>
      </w:r>
      <w:r w:rsidR="00D03A8C">
        <w:t>.1.</w:t>
      </w:r>
      <w:r w:rsidR="00D03A8C">
        <w:rPr>
          <w:rFonts w:ascii="Times New Roman" w:hAnsi="Times New Roman"/>
          <w:sz w:val="14"/>
          <w:szCs w:val="14"/>
        </w:rPr>
        <w:t xml:space="preserve"> </w:t>
      </w:r>
      <w:r w:rsidR="00D03A8C">
        <w:t>Vai šādā gadījumā var uzskatīt, ka kompetences centrs ir izpildījis ministru kabineta punktos 17.2 un 17.4 izvirzītās prasības pret kompetences centru?</w:t>
      </w:r>
    </w:p>
    <w:p w:rsidR="00D03A8C" w:rsidRDefault="00D03A8C" w:rsidP="00DD2727">
      <w:pPr>
        <w:spacing w:before="120" w:after="100" w:afterAutospacing="1"/>
        <w:ind w:firstLine="720"/>
      </w:pPr>
      <w:r>
        <w:rPr>
          <w:b/>
          <w:bCs/>
        </w:rPr>
        <w:lastRenderedPageBreak/>
        <w:t>Atbilde.</w:t>
      </w:r>
      <w:r>
        <w:t xml:space="preserve"> </w:t>
      </w:r>
      <w:r>
        <w:rPr>
          <w:i/>
          <w:iCs/>
        </w:rPr>
        <w:t>Jā</w:t>
      </w:r>
    </w:p>
    <w:p w:rsidR="00D03A8C" w:rsidRDefault="00DD2727" w:rsidP="00DD2727">
      <w:pPr>
        <w:pStyle w:val="ListParagraph"/>
        <w:spacing w:before="120" w:after="100" w:afterAutospacing="1"/>
      </w:pPr>
      <w:r>
        <w:t>7</w:t>
      </w:r>
      <w:r w:rsidR="00D03A8C">
        <w:t>.2.</w:t>
      </w:r>
      <w:r w:rsidR="00D03A8C">
        <w:rPr>
          <w:rFonts w:ascii="Times New Roman" w:hAnsi="Times New Roman"/>
          <w:sz w:val="14"/>
          <w:szCs w:val="14"/>
        </w:rPr>
        <w:t xml:space="preserve"> </w:t>
      </w:r>
      <w:r w:rsidR="00D03A8C">
        <w:t> Vai ir pietiekoši, ja pati  iepriekš minētā biedrība, kas ir vienīgais kompetences centra dibinātājs, izpilda MK noteikumu punktos 17.5. izvirzītās prasības? Ja nē, tad kādi papildus nosacījumi ir jāizpilda?</w:t>
      </w:r>
    </w:p>
    <w:p w:rsidR="00D03A8C" w:rsidRDefault="00D03A8C" w:rsidP="00DD2727">
      <w:pPr>
        <w:spacing w:before="120" w:after="100" w:afterAutospacing="1"/>
        <w:ind w:left="720"/>
      </w:pPr>
      <w:r>
        <w:rPr>
          <w:b/>
          <w:bCs/>
        </w:rPr>
        <w:t>Atbilde:</w:t>
      </w:r>
      <w:r>
        <w:t xml:space="preserve"> </w:t>
      </w:r>
      <w:r>
        <w:rPr>
          <w:i/>
          <w:iCs/>
        </w:rPr>
        <w:t>MK noteikumu Nr.2 17.5.apakšpunkta ietvaros tiek pārbaudīts, vai norādītais (maksātnespēja utt.) neattiecas uz pašu kompetences centru kā projekta iesniedzēju un tiem projekta sadarbības partneriem, kas tiek norādīti projekta iesnieguma 1.9.sadaļā kā pētniecības projektu īstenotāji (jau konkrēti zināmie projekta iesniegšanas brīdī)</w:t>
      </w:r>
      <w:r>
        <w:t>.</w:t>
      </w:r>
    </w:p>
    <w:p w:rsidR="00D03A8C" w:rsidRDefault="00DD2727" w:rsidP="00DD2727">
      <w:pPr>
        <w:pStyle w:val="ListParagraph"/>
        <w:spacing w:before="120" w:after="100" w:afterAutospacing="1"/>
      </w:pPr>
      <w:r>
        <w:t>7</w:t>
      </w:r>
      <w:r w:rsidR="00D03A8C">
        <w:t>.3.</w:t>
      </w:r>
      <w:r w:rsidR="00D03A8C">
        <w:rPr>
          <w:rFonts w:ascii="Times New Roman" w:hAnsi="Times New Roman"/>
          <w:sz w:val="14"/>
          <w:szCs w:val="14"/>
        </w:rPr>
        <w:t xml:space="preserve"> </w:t>
      </w:r>
      <w:r w:rsidR="00D03A8C">
        <w:t xml:space="preserve">Revidenta atzinumu par P&amp;A izmaksām, eksportu un ieņēmumiem no jauniem produktiem biedrības gadījumā nav iespējams iegūt ne tehniski, ne pēc būtības. Vai šāda gadījumā tiks vērtēti P&amp;A izmaksas, eksporta ieņēmumi no jauniem produktiem tikai no tiem sadarbības partneriem, kas ir komersanti, jo tikai no komersantiem  šādus datus un dokumentus var iegūt pēc būtības? Ņemot vērā, ka vienīgais dibinātājs ir nozares komersantus apvienojošā biedrība sadarbības partneri/komersanti šajā gadījumā ir  tiek kuri pieteikumā norādīti, kā tādi kuri plānot kompetences centrā veikt konkrētus projektus. </w:t>
      </w:r>
    </w:p>
    <w:p w:rsidR="00D03A8C" w:rsidRDefault="00D03A8C" w:rsidP="00D03A8C">
      <w:pPr>
        <w:pStyle w:val="ListParagraph"/>
        <w:spacing w:before="120" w:after="100" w:afterAutospacing="1"/>
        <w:ind w:left="780"/>
      </w:pPr>
    </w:p>
    <w:p w:rsidR="00D03A8C" w:rsidRDefault="00D03A8C" w:rsidP="00DD2727">
      <w:pPr>
        <w:spacing w:before="120" w:after="100" w:afterAutospacing="1"/>
        <w:ind w:left="720"/>
      </w:pPr>
      <w:r>
        <w:rPr>
          <w:b/>
          <w:bCs/>
        </w:rPr>
        <w:t>Atbilde:</w:t>
      </w:r>
      <w:r>
        <w:t xml:space="preserve"> </w:t>
      </w:r>
      <w:r>
        <w:rPr>
          <w:i/>
          <w:iCs/>
        </w:rPr>
        <w:t>Jā, dati tiks vērtēti tikai par komersantiem. KC iesniedz revidenta atzinumus par P&amp;A izmaksām, eksportu un ieņēmumiem no jauniem produktiem par tiem komersantiem, kas norādīti nozares sadarbības partneru sarakstā.</w:t>
      </w:r>
    </w:p>
    <w:p w:rsidR="00DD2727" w:rsidRDefault="00DD2727" w:rsidP="00DD2727">
      <w:pPr>
        <w:spacing w:before="120" w:after="100" w:afterAutospacing="1"/>
        <w:ind w:left="720"/>
        <w:rPr>
          <w:b/>
          <w:bCs/>
          <w:u w:val="single"/>
        </w:rPr>
      </w:pPr>
      <w:r>
        <w:rPr>
          <w:b/>
          <w:bCs/>
          <w:u w:val="single"/>
        </w:rPr>
        <w:t xml:space="preserve">Jautājums: </w:t>
      </w:r>
    </w:p>
    <w:p w:rsidR="00D03A8C" w:rsidRPr="00DD2727" w:rsidRDefault="00D03A8C" w:rsidP="00DD2727">
      <w:pPr>
        <w:pStyle w:val="ListParagraph"/>
        <w:numPr>
          <w:ilvl w:val="0"/>
          <w:numId w:val="7"/>
        </w:numPr>
        <w:spacing w:before="120" w:after="100" w:afterAutospacing="1"/>
        <w:rPr>
          <w:b/>
          <w:bCs/>
          <w:u w:val="single"/>
        </w:rPr>
      </w:pPr>
      <w:r>
        <w:t xml:space="preserve">Vai vērtēšanas kritērijā 1.4. norādot atbildi, ka pašam kompetences centram nav </w:t>
      </w:r>
      <w:r w:rsidR="00DD2727">
        <w:t>n</w:t>
      </w:r>
      <w:r>
        <w:t>epieciešama papildus pētniecības infrastruktūra, tas vērtējumā var joprojām saņemt 10 punktus?</w:t>
      </w:r>
    </w:p>
    <w:p w:rsidR="00D03A8C" w:rsidRDefault="00D03A8C" w:rsidP="00DD2727">
      <w:pPr>
        <w:spacing w:before="120" w:after="100" w:afterAutospacing="1"/>
        <w:ind w:left="720"/>
        <w:jc w:val="both"/>
        <w:rPr>
          <w:lang w:eastAsia="lv-LV"/>
        </w:rPr>
      </w:pPr>
      <w:r>
        <w:rPr>
          <w:b/>
          <w:bCs/>
        </w:rPr>
        <w:t>Atbilde</w:t>
      </w:r>
      <w:r>
        <w:rPr>
          <w:b/>
          <w:bCs/>
          <w:i/>
          <w:iCs/>
        </w:rPr>
        <w:t>:</w:t>
      </w:r>
      <w:r>
        <w:rPr>
          <w:i/>
          <w:iCs/>
        </w:rPr>
        <w:t xml:space="preserve"> Jā. Kvalitātes 1.4.kritērijā piešķir 10 punktus, ja KC stratēģijā ir skaidri </w:t>
      </w:r>
      <w:bookmarkStart w:id="0" w:name="_GoBack"/>
      <w:bookmarkEnd w:id="0"/>
      <w:r>
        <w:rPr>
          <w:i/>
          <w:iCs/>
        </w:rPr>
        <w:t xml:space="preserve">norādīta esošā </w:t>
      </w:r>
      <w:r>
        <w:rPr>
          <w:i/>
          <w:iCs/>
          <w:lang w:eastAsia="lv-LV"/>
        </w:rPr>
        <w:t>pētniecības un inovāciju attīstības infrastruktūra. Gadījumā, ja KC projekta iesniegumā norāda, ka pētniecības un inovāciju infrastruktūra nav nepieciešama, tad jābūt skaidrotam, kāpēc tā nav nepieciešama un kā nākotnē ar esošo infrastruktūru tiks nodrošināta pētniecība un jaunu inovatīvu, konkurētspējīgu nišas produktu attīstība.</w:t>
      </w:r>
    </w:p>
    <w:p w:rsidR="003F5FDF" w:rsidRDefault="003F5FDF" w:rsidP="00D03A8C">
      <w:pPr>
        <w:spacing w:before="120" w:after="240"/>
        <w:rPr>
          <w:rFonts w:asciiTheme="minorHAnsi" w:hAnsiTheme="minorHAnsi"/>
          <w:b/>
          <w:u w:val="single"/>
        </w:rPr>
      </w:pPr>
    </w:p>
    <w:p w:rsidR="00717616" w:rsidRPr="00DB1D43" w:rsidRDefault="00717616" w:rsidP="00DB1D43">
      <w:pPr>
        <w:jc w:val="both"/>
        <w:rPr>
          <w:rFonts w:asciiTheme="minorHAnsi" w:hAnsiTheme="minorHAnsi"/>
          <w:b/>
          <w:u w:val="single"/>
        </w:rPr>
      </w:pPr>
    </w:p>
    <w:sectPr w:rsidR="00717616" w:rsidRPr="00DB1D4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72040"/>
    <w:multiLevelType w:val="hybridMultilevel"/>
    <w:tmpl w:val="3CFCD864"/>
    <w:lvl w:ilvl="0" w:tplc="B5D8948C">
      <w:start w:val="1"/>
      <w:numFmt w:val="decimal"/>
      <w:lvlText w:val="%1."/>
      <w:lvlJc w:val="left"/>
      <w:pPr>
        <w:ind w:left="720" w:hanging="360"/>
      </w:pPr>
      <w:rPr>
        <w:rFonts w:ascii="Arial" w:hAnsi="Arial" w:cs="Arial" w:hint="default"/>
        <w:sz w:val="1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D08759D"/>
    <w:multiLevelType w:val="hybridMultilevel"/>
    <w:tmpl w:val="89447C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1BE413E"/>
    <w:multiLevelType w:val="hybridMultilevel"/>
    <w:tmpl w:val="37DA39BC"/>
    <w:lvl w:ilvl="0" w:tplc="0426000F">
      <w:start w:val="8"/>
      <w:numFmt w:val="decimal"/>
      <w:lvlText w:val="%1."/>
      <w:lvlJc w:val="left"/>
      <w:pPr>
        <w:ind w:left="720" w:hanging="360"/>
      </w:pPr>
      <w:rPr>
        <w:rFonts w:hint="default"/>
        <w:b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7C53836"/>
    <w:multiLevelType w:val="hybridMultilevel"/>
    <w:tmpl w:val="29ECCB36"/>
    <w:lvl w:ilvl="0" w:tplc="D35C0BC6">
      <w:start w:val="8"/>
      <w:numFmt w:val="decimal"/>
      <w:lvlText w:val="%1."/>
      <w:lvlJc w:val="left"/>
      <w:pPr>
        <w:ind w:left="1080" w:hanging="360"/>
      </w:pPr>
      <w:rPr>
        <w:rFonts w:hint="default"/>
        <w:b w:val="0"/>
        <w:u w:val="none"/>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508A041B"/>
    <w:multiLevelType w:val="multilevel"/>
    <w:tmpl w:val="41527C0A"/>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75C34BB"/>
    <w:multiLevelType w:val="hybridMultilevel"/>
    <w:tmpl w:val="35A2EF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576050D5"/>
    <w:multiLevelType w:val="hybridMultilevel"/>
    <w:tmpl w:val="FF24C984"/>
    <w:lvl w:ilvl="0" w:tplc="6300701A">
      <w:start w:val="1"/>
      <w:numFmt w:val="decimal"/>
      <w:lvlText w:val="%1)"/>
      <w:lvlJc w:val="left"/>
      <w:pPr>
        <w:ind w:left="720" w:hanging="360"/>
      </w:pPr>
      <w:rPr>
        <w:rFonts w:ascii="Calibri" w:hAnsi="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94"/>
    <w:rsid w:val="00001F1C"/>
    <w:rsid w:val="000B6879"/>
    <w:rsid w:val="001427B5"/>
    <w:rsid w:val="00156194"/>
    <w:rsid w:val="00237147"/>
    <w:rsid w:val="002A7C7E"/>
    <w:rsid w:val="0032754F"/>
    <w:rsid w:val="003C289C"/>
    <w:rsid w:val="003F5FDF"/>
    <w:rsid w:val="00433800"/>
    <w:rsid w:val="00455D4C"/>
    <w:rsid w:val="004C7965"/>
    <w:rsid w:val="005E1F97"/>
    <w:rsid w:val="006A6E12"/>
    <w:rsid w:val="006F2105"/>
    <w:rsid w:val="00717616"/>
    <w:rsid w:val="0076209B"/>
    <w:rsid w:val="007A3371"/>
    <w:rsid w:val="00873DF0"/>
    <w:rsid w:val="00876332"/>
    <w:rsid w:val="008B24B6"/>
    <w:rsid w:val="009268F5"/>
    <w:rsid w:val="00940E77"/>
    <w:rsid w:val="009630E5"/>
    <w:rsid w:val="00AB4E0E"/>
    <w:rsid w:val="00AF72AB"/>
    <w:rsid w:val="00B0365F"/>
    <w:rsid w:val="00B044BB"/>
    <w:rsid w:val="00BC1F19"/>
    <w:rsid w:val="00C24917"/>
    <w:rsid w:val="00C9231B"/>
    <w:rsid w:val="00D03A8C"/>
    <w:rsid w:val="00D243C1"/>
    <w:rsid w:val="00D778E1"/>
    <w:rsid w:val="00D901E3"/>
    <w:rsid w:val="00DB1D43"/>
    <w:rsid w:val="00DD153C"/>
    <w:rsid w:val="00DD2727"/>
    <w:rsid w:val="00E55096"/>
    <w:rsid w:val="00EC71CF"/>
    <w:rsid w:val="00F04F46"/>
    <w:rsid w:val="00FA20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A2BD74-FF1F-47A4-8F81-B8D2DDF97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19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194"/>
    <w:pPr>
      <w:ind w:left="720"/>
      <w:contextualSpacing/>
    </w:pPr>
  </w:style>
  <w:style w:type="character" w:styleId="Hyperlink">
    <w:name w:val="Hyperlink"/>
    <w:basedOn w:val="DefaultParagraphFont"/>
    <w:uiPriority w:val="99"/>
    <w:semiHidden/>
    <w:unhideWhenUsed/>
    <w:rsid w:val="00B0365F"/>
    <w:rPr>
      <w:color w:val="0563C1"/>
      <w:u w:val="single"/>
    </w:rPr>
  </w:style>
  <w:style w:type="paragraph" w:styleId="PlainText">
    <w:name w:val="Plain Text"/>
    <w:basedOn w:val="Normal"/>
    <w:link w:val="PlainTextChar"/>
    <w:uiPriority w:val="99"/>
    <w:unhideWhenUsed/>
    <w:rsid w:val="004C7965"/>
    <w:rPr>
      <w:rFonts w:cstheme="minorBidi"/>
      <w:szCs w:val="21"/>
    </w:rPr>
  </w:style>
  <w:style w:type="character" w:customStyle="1" w:styleId="PlainTextChar">
    <w:name w:val="Plain Text Char"/>
    <w:basedOn w:val="DefaultParagraphFont"/>
    <w:link w:val="PlainText"/>
    <w:uiPriority w:val="99"/>
    <w:rsid w:val="004C7965"/>
    <w:rPr>
      <w:rFonts w:ascii="Calibri" w:hAnsi="Calibri"/>
      <w:szCs w:val="21"/>
    </w:rPr>
  </w:style>
  <w:style w:type="character" w:customStyle="1" w:styleId="apple-converted-space">
    <w:name w:val="apple-converted-space"/>
    <w:basedOn w:val="DefaultParagraphFont"/>
    <w:rsid w:val="005E1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6933">
      <w:bodyDiv w:val="1"/>
      <w:marLeft w:val="0"/>
      <w:marRight w:val="0"/>
      <w:marTop w:val="0"/>
      <w:marBottom w:val="0"/>
      <w:divBdr>
        <w:top w:val="none" w:sz="0" w:space="0" w:color="auto"/>
        <w:left w:val="none" w:sz="0" w:space="0" w:color="auto"/>
        <w:bottom w:val="none" w:sz="0" w:space="0" w:color="auto"/>
        <w:right w:val="none" w:sz="0" w:space="0" w:color="auto"/>
      </w:divBdr>
    </w:div>
    <w:div w:id="84035500">
      <w:bodyDiv w:val="1"/>
      <w:marLeft w:val="0"/>
      <w:marRight w:val="0"/>
      <w:marTop w:val="0"/>
      <w:marBottom w:val="0"/>
      <w:divBdr>
        <w:top w:val="none" w:sz="0" w:space="0" w:color="auto"/>
        <w:left w:val="none" w:sz="0" w:space="0" w:color="auto"/>
        <w:bottom w:val="none" w:sz="0" w:space="0" w:color="auto"/>
        <w:right w:val="none" w:sz="0" w:space="0" w:color="auto"/>
      </w:divBdr>
    </w:div>
    <w:div w:id="128285832">
      <w:bodyDiv w:val="1"/>
      <w:marLeft w:val="0"/>
      <w:marRight w:val="0"/>
      <w:marTop w:val="0"/>
      <w:marBottom w:val="0"/>
      <w:divBdr>
        <w:top w:val="none" w:sz="0" w:space="0" w:color="auto"/>
        <w:left w:val="none" w:sz="0" w:space="0" w:color="auto"/>
        <w:bottom w:val="none" w:sz="0" w:space="0" w:color="auto"/>
        <w:right w:val="none" w:sz="0" w:space="0" w:color="auto"/>
      </w:divBdr>
    </w:div>
    <w:div w:id="600841939">
      <w:bodyDiv w:val="1"/>
      <w:marLeft w:val="0"/>
      <w:marRight w:val="0"/>
      <w:marTop w:val="0"/>
      <w:marBottom w:val="0"/>
      <w:divBdr>
        <w:top w:val="none" w:sz="0" w:space="0" w:color="auto"/>
        <w:left w:val="none" w:sz="0" w:space="0" w:color="auto"/>
        <w:bottom w:val="none" w:sz="0" w:space="0" w:color="auto"/>
        <w:right w:val="none" w:sz="0" w:space="0" w:color="auto"/>
      </w:divBdr>
    </w:div>
    <w:div w:id="839275712">
      <w:bodyDiv w:val="1"/>
      <w:marLeft w:val="0"/>
      <w:marRight w:val="0"/>
      <w:marTop w:val="0"/>
      <w:marBottom w:val="0"/>
      <w:divBdr>
        <w:top w:val="none" w:sz="0" w:space="0" w:color="auto"/>
        <w:left w:val="none" w:sz="0" w:space="0" w:color="auto"/>
        <w:bottom w:val="none" w:sz="0" w:space="0" w:color="auto"/>
        <w:right w:val="none" w:sz="0" w:space="0" w:color="auto"/>
      </w:divBdr>
    </w:div>
    <w:div w:id="969820601">
      <w:bodyDiv w:val="1"/>
      <w:marLeft w:val="0"/>
      <w:marRight w:val="0"/>
      <w:marTop w:val="0"/>
      <w:marBottom w:val="0"/>
      <w:divBdr>
        <w:top w:val="none" w:sz="0" w:space="0" w:color="auto"/>
        <w:left w:val="none" w:sz="0" w:space="0" w:color="auto"/>
        <w:bottom w:val="none" w:sz="0" w:space="0" w:color="auto"/>
        <w:right w:val="none" w:sz="0" w:space="0" w:color="auto"/>
      </w:divBdr>
    </w:div>
    <w:div w:id="1164976014">
      <w:bodyDiv w:val="1"/>
      <w:marLeft w:val="0"/>
      <w:marRight w:val="0"/>
      <w:marTop w:val="0"/>
      <w:marBottom w:val="0"/>
      <w:divBdr>
        <w:top w:val="none" w:sz="0" w:space="0" w:color="auto"/>
        <w:left w:val="none" w:sz="0" w:space="0" w:color="auto"/>
        <w:bottom w:val="none" w:sz="0" w:space="0" w:color="auto"/>
        <w:right w:val="none" w:sz="0" w:space="0" w:color="auto"/>
      </w:divBdr>
    </w:div>
    <w:div w:id="1186283093">
      <w:bodyDiv w:val="1"/>
      <w:marLeft w:val="0"/>
      <w:marRight w:val="0"/>
      <w:marTop w:val="0"/>
      <w:marBottom w:val="0"/>
      <w:divBdr>
        <w:top w:val="none" w:sz="0" w:space="0" w:color="auto"/>
        <w:left w:val="none" w:sz="0" w:space="0" w:color="auto"/>
        <w:bottom w:val="none" w:sz="0" w:space="0" w:color="auto"/>
        <w:right w:val="none" w:sz="0" w:space="0" w:color="auto"/>
      </w:divBdr>
    </w:div>
    <w:div w:id="1236165220">
      <w:bodyDiv w:val="1"/>
      <w:marLeft w:val="0"/>
      <w:marRight w:val="0"/>
      <w:marTop w:val="0"/>
      <w:marBottom w:val="0"/>
      <w:divBdr>
        <w:top w:val="none" w:sz="0" w:space="0" w:color="auto"/>
        <w:left w:val="none" w:sz="0" w:space="0" w:color="auto"/>
        <w:bottom w:val="none" w:sz="0" w:space="0" w:color="auto"/>
        <w:right w:val="none" w:sz="0" w:space="0" w:color="auto"/>
      </w:divBdr>
    </w:div>
    <w:div w:id="1308437439">
      <w:bodyDiv w:val="1"/>
      <w:marLeft w:val="0"/>
      <w:marRight w:val="0"/>
      <w:marTop w:val="0"/>
      <w:marBottom w:val="0"/>
      <w:divBdr>
        <w:top w:val="none" w:sz="0" w:space="0" w:color="auto"/>
        <w:left w:val="none" w:sz="0" w:space="0" w:color="auto"/>
        <w:bottom w:val="none" w:sz="0" w:space="0" w:color="auto"/>
        <w:right w:val="none" w:sz="0" w:space="0" w:color="auto"/>
      </w:divBdr>
    </w:div>
    <w:div w:id="1469936954">
      <w:bodyDiv w:val="1"/>
      <w:marLeft w:val="0"/>
      <w:marRight w:val="0"/>
      <w:marTop w:val="0"/>
      <w:marBottom w:val="0"/>
      <w:divBdr>
        <w:top w:val="none" w:sz="0" w:space="0" w:color="auto"/>
        <w:left w:val="none" w:sz="0" w:space="0" w:color="auto"/>
        <w:bottom w:val="none" w:sz="0" w:space="0" w:color="auto"/>
        <w:right w:val="none" w:sz="0" w:space="0" w:color="auto"/>
      </w:divBdr>
    </w:div>
    <w:div w:id="1628311188">
      <w:bodyDiv w:val="1"/>
      <w:marLeft w:val="0"/>
      <w:marRight w:val="0"/>
      <w:marTop w:val="0"/>
      <w:marBottom w:val="0"/>
      <w:divBdr>
        <w:top w:val="none" w:sz="0" w:space="0" w:color="auto"/>
        <w:left w:val="none" w:sz="0" w:space="0" w:color="auto"/>
        <w:bottom w:val="none" w:sz="0" w:space="0" w:color="auto"/>
        <w:right w:val="none" w:sz="0" w:space="0" w:color="auto"/>
      </w:divBdr>
    </w:div>
    <w:div w:id="1738896433">
      <w:bodyDiv w:val="1"/>
      <w:marLeft w:val="0"/>
      <w:marRight w:val="0"/>
      <w:marTop w:val="0"/>
      <w:marBottom w:val="0"/>
      <w:divBdr>
        <w:top w:val="none" w:sz="0" w:space="0" w:color="auto"/>
        <w:left w:val="none" w:sz="0" w:space="0" w:color="auto"/>
        <w:bottom w:val="none" w:sz="0" w:space="0" w:color="auto"/>
        <w:right w:val="none" w:sz="0" w:space="0" w:color="auto"/>
      </w:divBdr>
    </w:div>
    <w:div w:id="1746950326">
      <w:bodyDiv w:val="1"/>
      <w:marLeft w:val="0"/>
      <w:marRight w:val="0"/>
      <w:marTop w:val="0"/>
      <w:marBottom w:val="0"/>
      <w:divBdr>
        <w:top w:val="none" w:sz="0" w:space="0" w:color="auto"/>
        <w:left w:val="none" w:sz="0" w:space="0" w:color="auto"/>
        <w:bottom w:val="none" w:sz="0" w:space="0" w:color="auto"/>
        <w:right w:val="none" w:sz="0" w:space="0" w:color="auto"/>
      </w:divBdr>
    </w:div>
    <w:div w:id="1771511658">
      <w:bodyDiv w:val="1"/>
      <w:marLeft w:val="0"/>
      <w:marRight w:val="0"/>
      <w:marTop w:val="0"/>
      <w:marBottom w:val="0"/>
      <w:divBdr>
        <w:top w:val="none" w:sz="0" w:space="0" w:color="auto"/>
        <w:left w:val="none" w:sz="0" w:space="0" w:color="auto"/>
        <w:bottom w:val="none" w:sz="0" w:space="0" w:color="auto"/>
        <w:right w:val="none" w:sz="0" w:space="0" w:color="auto"/>
      </w:divBdr>
    </w:div>
    <w:div w:id="1845901205">
      <w:bodyDiv w:val="1"/>
      <w:marLeft w:val="0"/>
      <w:marRight w:val="0"/>
      <w:marTop w:val="0"/>
      <w:marBottom w:val="0"/>
      <w:divBdr>
        <w:top w:val="none" w:sz="0" w:space="0" w:color="auto"/>
        <w:left w:val="none" w:sz="0" w:space="0" w:color="auto"/>
        <w:bottom w:val="none" w:sz="0" w:space="0" w:color="auto"/>
        <w:right w:val="none" w:sz="0" w:space="0" w:color="auto"/>
      </w:divBdr>
    </w:div>
    <w:div w:id="2097819111">
      <w:bodyDiv w:val="1"/>
      <w:marLeft w:val="0"/>
      <w:marRight w:val="0"/>
      <w:marTop w:val="0"/>
      <w:marBottom w:val="0"/>
      <w:divBdr>
        <w:top w:val="none" w:sz="0" w:space="0" w:color="auto"/>
        <w:left w:val="none" w:sz="0" w:space="0" w:color="auto"/>
        <w:bottom w:val="none" w:sz="0" w:space="0" w:color="auto"/>
        <w:right w:val="none" w:sz="0" w:space="0" w:color="auto"/>
      </w:divBdr>
    </w:div>
    <w:div w:id="213359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1325AF16</Template>
  <TotalTime>451</TotalTime>
  <Pages>3</Pages>
  <Words>4675</Words>
  <Characters>2665</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Siliņa</dc:creator>
  <cp:keywords/>
  <dc:description/>
  <cp:lastModifiedBy>Ieva Siliņa</cp:lastModifiedBy>
  <cp:revision>10</cp:revision>
  <dcterms:created xsi:type="dcterms:W3CDTF">2016-04-05T13:50:00Z</dcterms:created>
  <dcterms:modified xsi:type="dcterms:W3CDTF">2016-04-11T08:03:00Z</dcterms:modified>
</cp:coreProperties>
</file>