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858" w:type="dxa"/>
        <w:tblCellMar>
          <w:left w:w="0" w:type="dxa"/>
          <w:right w:w="0" w:type="dxa"/>
        </w:tblCellMar>
        <w:tblLook w:val="04A0" w:firstRow="1" w:lastRow="0" w:firstColumn="1" w:lastColumn="0" w:noHBand="0" w:noVBand="1"/>
      </w:tblPr>
      <w:tblGrid>
        <w:gridCol w:w="2136"/>
        <w:gridCol w:w="5253"/>
        <w:gridCol w:w="6469"/>
      </w:tblGrid>
      <w:tr w:rsidR="00E03D32" w:rsidRPr="000C7663" w14:paraId="1840BD79" w14:textId="77777777" w:rsidTr="00C664F4">
        <w:trPr>
          <w:trHeight w:val="395"/>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711AFEA" w14:textId="77777777" w:rsidR="00024491" w:rsidRPr="00C664F4" w:rsidRDefault="000C7663" w:rsidP="000C7663">
            <w:pPr>
              <w:jc w:val="center"/>
              <w:rPr>
                <w:rFonts w:ascii="Times New Roman" w:hAnsi="Times New Roman"/>
                <w:b/>
                <w:sz w:val="24"/>
                <w:lang w:val="lv-LV"/>
              </w:rPr>
            </w:pPr>
            <w:r w:rsidRPr="00C664F4">
              <w:rPr>
                <w:rFonts w:ascii="Times New Roman" w:hAnsi="Times New Roman"/>
                <w:b/>
                <w:sz w:val="24"/>
                <w:lang w:val="lv-LV"/>
              </w:rPr>
              <w:t>Infrastruktūras veids</w:t>
            </w:r>
          </w:p>
        </w:tc>
        <w:tc>
          <w:tcPr>
            <w:tcW w:w="531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C967DB3" w14:textId="77777777" w:rsidR="00024491" w:rsidRPr="00C664F4" w:rsidRDefault="00E311AA" w:rsidP="000C7663">
            <w:pPr>
              <w:jc w:val="center"/>
              <w:rPr>
                <w:rFonts w:ascii="Times New Roman" w:hAnsi="Times New Roman"/>
                <w:b/>
                <w:sz w:val="24"/>
                <w:lang w:val="lv-LV"/>
              </w:rPr>
            </w:pPr>
            <w:r w:rsidRPr="00C664F4">
              <w:rPr>
                <w:rFonts w:ascii="Times New Roman" w:hAnsi="Times New Roman"/>
                <w:b/>
                <w:sz w:val="24"/>
                <w:lang w:val="lv-LV"/>
              </w:rPr>
              <w:t xml:space="preserve">Vājstrāvu tīklu </w:t>
            </w:r>
            <w:r w:rsidR="00024491" w:rsidRPr="00C664F4">
              <w:rPr>
                <w:rFonts w:ascii="Times New Roman" w:hAnsi="Times New Roman"/>
                <w:b/>
                <w:sz w:val="24"/>
                <w:lang w:val="lv-LV"/>
              </w:rPr>
              <w:t>veids</w:t>
            </w:r>
          </w:p>
        </w:tc>
        <w:tc>
          <w:tcPr>
            <w:tcW w:w="656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460FFC4" w14:textId="77777777" w:rsidR="000C7663" w:rsidRPr="00C664F4" w:rsidRDefault="00024491" w:rsidP="000C7663">
            <w:pPr>
              <w:jc w:val="center"/>
              <w:rPr>
                <w:rFonts w:ascii="Times New Roman" w:hAnsi="Times New Roman"/>
                <w:b/>
                <w:sz w:val="24"/>
                <w:lang w:val="lv-LV"/>
              </w:rPr>
            </w:pPr>
            <w:r w:rsidRPr="00C664F4">
              <w:rPr>
                <w:rFonts w:ascii="Times New Roman" w:hAnsi="Times New Roman"/>
                <w:b/>
                <w:sz w:val="24"/>
                <w:lang w:val="lv-LV"/>
              </w:rPr>
              <w:t xml:space="preserve">Izmaksu </w:t>
            </w:r>
            <w:r w:rsidR="002212C5" w:rsidRPr="00C664F4">
              <w:rPr>
                <w:rFonts w:ascii="Times New Roman" w:hAnsi="Times New Roman"/>
                <w:b/>
                <w:sz w:val="24"/>
                <w:lang w:val="lv-LV"/>
              </w:rPr>
              <w:t xml:space="preserve">veids, </w:t>
            </w:r>
            <w:r w:rsidRPr="00C664F4">
              <w:rPr>
                <w:rFonts w:ascii="Times New Roman" w:hAnsi="Times New Roman"/>
                <w:b/>
                <w:sz w:val="24"/>
                <w:lang w:val="lv-LV"/>
              </w:rPr>
              <w:t>avots</w:t>
            </w:r>
          </w:p>
        </w:tc>
      </w:tr>
      <w:tr w:rsidR="0062256C" w:rsidRPr="00330646" w14:paraId="6A7F1D5C" w14:textId="77777777" w:rsidTr="00C664F4">
        <w:trPr>
          <w:trHeight w:val="2554"/>
        </w:trPr>
        <w:tc>
          <w:tcPr>
            <w:tcW w:w="1975"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13FF971D" w14:textId="52D0BEC9" w:rsidR="00E03D32" w:rsidRPr="00C664F4" w:rsidRDefault="002C3F8B" w:rsidP="00E03D32">
            <w:pPr>
              <w:pStyle w:val="ListParagraph"/>
              <w:numPr>
                <w:ilvl w:val="0"/>
                <w:numId w:val="3"/>
              </w:numPr>
              <w:ind w:left="306" w:hanging="284"/>
              <w:jc w:val="both"/>
              <w:rPr>
                <w:rFonts w:ascii="Times New Roman" w:hAnsi="Times New Roman"/>
                <w:b/>
                <w:sz w:val="24"/>
                <w:lang w:val="lv-LV"/>
              </w:rPr>
            </w:pPr>
            <w:r w:rsidRPr="00C664F4">
              <w:rPr>
                <w:rFonts w:ascii="Times New Roman" w:hAnsi="Times New Roman"/>
                <w:b/>
                <w:sz w:val="24"/>
                <w:lang w:val="lv-LV"/>
              </w:rPr>
              <w:t>Ceļu infrastruktūra</w:t>
            </w:r>
            <w:r w:rsidR="00E03D32" w:rsidRPr="00C664F4">
              <w:rPr>
                <w:rFonts w:ascii="Times New Roman" w:hAnsi="Times New Roman"/>
                <w:b/>
                <w:sz w:val="24"/>
                <w:lang w:val="lv-LV"/>
              </w:rPr>
              <w:t>;</w:t>
            </w:r>
          </w:p>
          <w:p w14:paraId="06B19870" w14:textId="7657658D" w:rsidR="002C3F8B" w:rsidRPr="00C664F4" w:rsidRDefault="00E03D32" w:rsidP="00E03D32">
            <w:pPr>
              <w:pStyle w:val="ListParagraph"/>
              <w:numPr>
                <w:ilvl w:val="0"/>
                <w:numId w:val="3"/>
              </w:numPr>
              <w:ind w:left="306" w:hanging="284"/>
              <w:jc w:val="both"/>
              <w:rPr>
                <w:rFonts w:ascii="Times New Roman" w:hAnsi="Times New Roman"/>
                <w:b/>
                <w:sz w:val="24"/>
                <w:lang w:val="lv-LV"/>
              </w:rPr>
            </w:pPr>
            <w:r w:rsidRPr="00C664F4">
              <w:rPr>
                <w:rFonts w:ascii="Times New Roman" w:hAnsi="Times New Roman"/>
                <w:b/>
                <w:sz w:val="24"/>
                <w:lang w:val="lv-LV"/>
              </w:rPr>
              <w:t>Citas publiski pieejamas teritorijas (</w:t>
            </w:r>
            <w:r w:rsidR="000359B4" w:rsidRPr="00C664F4">
              <w:rPr>
                <w:rFonts w:ascii="Times New Roman" w:hAnsi="Times New Roman"/>
                <w:b/>
                <w:sz w:val="24"/>
                <w:lang w:val="lv-LV"/>
              </w:rPr>
              <w:t xml:space="preserve">piem., </w:t>
            </w:r>
            <w:r w:rsidRPr="00C664F4">
              <w:rPr>
                <w:rFonts w:ascii="Times New Roman" w:hAnsi="Times New Roman"/>
                <w:b/>
                <w:sz w:val="24"/>
                <w:lang w:val="lv-LV"/>
              </w:rPr>
              <w:t>laukumi, parki u.tml.),</w:t>
            </w:r>
            <w:r w:rsidR="00C664F4">
              <w:rPr>
                <w:rFonts w:ascii="Times New Roman" w:hAnsi="Times New Roman"/>
                <w:b/>
                <w:sz w:val="24"/>
                <w:lang w:val="lv-LV"/>
              </w:rPr>
              <w:t xml:space="preserve"> </w:t>
            </w:r>
            <w:r w:rsidRPr="00C664F4">
              <w:rPr>
                <w:rFonts w:ascii="Times New Roman" w:hAnsi="Times New Roman"/>
                <w:b/>
                <w:sz w:val="24"/>
                <w:lang w:val="lv-LV"/>
              </w:rPr>
              <w:t>kur plānotas labiekārtošanas darbības</w:t>
            </w:r>
          </w:p>
        </w:tc>
        <w:tc>
          <w:tcPr>
            <w:tcW w:w="5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B9904" w14:textId="31A0CA61" w:rsidR="002C3F8B" w:rsidRPr="00C664F4" w:rsidRDefault="002C3F8B" w:rsidP="00C664F4">
            <w:pPr>
              <w:pStyle w:val="ListParagraph"/>
              <w:numPr>
                <w:ilvl w:val="0"/>
                <w:numId w:val="1"/>
              </w:numPr>
              <w:ind w:left="291" w:hanging="284"/>
              <w:jc w:val="both"/>
              <w:rPr>
                <w:rFonts w:ascii="Times New Roman" w:hAnsi="Times New Roman"/>
                <w:sz w:val="24"/>
                <w:lang w:val="lv-LV"/>
              </w:rPr>
            </w:pPr>
            <w:r w:rsidRPr="00C664F4">
              <w:rPr>
                <w:rFonts w:ascii="Times New Roman" w:hAnsi="Times New Roman"/>
                <w:sz w:val="24"/>
                <w:lang w:val="lv-LV"/>
              </w:rPr>
              <w:t>Jaunu vājstrāvu tīklu izbūve vai esošo vājstrāvu tīklu pārbūve ar jaudas palielināšanu (piem.,  SIA “</w:t>
            </w:r>
            <w:proofErr w:type="spellStart"/>
            <w:r w:rsidRPr="00C664F4">
              <w:rPr>
                <w:rFonts w:ascii="Times New Roman" w:hAnsi="Times New Roman"/>
                <w:sz w:val="24"/>
                <w:lang w:val="lv-LV"/>
              </w:rPr>
              <w:t>Tet</w:t>
            </w:r>
            <w:proofErr w:type="spellEnd"/>
            <w:r w:rsidRPr="00C664F4">
              <w:rPr>
                <w:rFonts w:ascii="Times New Roman" w:hAnsi="Times New Roman"/>
                <w:sz w:val="24"/>
                <w:lang w:val="lv-LV"/>
              </w:rPr>
              <w:t>”, SIA  “Baltcom”</w:t>
            </w:r>
            <w:r w:rsidR="0050572C" w:rsidRPr="00C664F4">
              <w:rPr>
                <w:rFonts w:ascii="Times New Roman" w:hAnsi="Times New Roman"/>
                <w:sz w:val="24"/>
                <w:lang w:val="lv-LV"/>
              </w:rPr>
              <w:t xml:space="preserve">, SIA “LMT”, VAS “Latvijas Valsts radio un televīzijas centrs” </w:t>
            </w:r>
            <w:r w:rsidRPr="00C664F4">
              <w:rPr>
                <w:rFonts w:ascii="Times New Roman" w:hAnsi="Times New Roman"/>
                <w:sz w:val="24"/>
                <w:lang w:val="lv-LV"/>
              </w:rPr>
              <w:t xml:space="preserve"> elektronisko sakaru tīkli (EST))</w:t>
            </w:r>
            <w:r w:rsidR="00367A6F" w:rsidRPr="00C664F4">
              <w:rPr>
                <w:rFonts w:ascii="Times New Roman" w:hAnsi="Times New Roman"/>
                <w:sz w:val="24"/>
                <w:lang w:val="lv-LV"/>
              </w:rPr>
              <w:t>;</w:t>
            </w:r>
          </w:p>
          <w:p w14:paraId="10F5140B" w14:textId="03A75695" w:rsidR="002C3F8B" w:rsidRPr="00C664F4" w:rsidRDefault="002C3F8B" w:rsidP="00C664F4">
            <w:pPr>
              <w:pStyle w:val="ListParagraph"/>
              <w:numPr>
                <w:ilvl w:val="0"/>
                <w:numId w:val="1"/>
              </w:numPr>
              <w:ind w:left="291" w:hanging="284"/>
              <w:jc w:val="both"/>
              <w:rPr>
                <w:rFonts w:ascii="Times New Roman" w:hAnsi="Times New Roman"/>
                <w:sz w:val="24"/>
                <w:lang w:val="lv-LV"/>
              </w:rPr>
            </w:pPr>
            <w:r w:rsidRPr="00C664F4">
              <w:rPr>
                <w:rFonts w:ascii="Times New Roman" w:hAnsi="Times New Roman"/>
                <w:sz w:val="24"/>
                <w:lang w:val="lv-LV"/>
              </w:rPr>
              <w:t>Videonovērošanas kameras</w:t>
            </w:r>
            <w:r w:rsidR="00331516" w:rsidRPr="00C664F4">
              <w:rPr>
                <w:rFonts w:ascii="Times New Roman" w:hAnsi="Times New Roman"/>
                <w:sz w:val="24"/>
                <w:lang w:val="lv-LV"/>
              </w:rPr>
              <w:t>,</w:t>
            </w:r>
            <w:r w:rsidR="00562103" w:rsidRPr="00C664F4">
              <w:rPr>
                <w:rFonts w:ascii="Times New Roman" w:hAnsi="Times New Roman"/>
                <w:sz w:val="24"/>
                <w:lang w:val="lv-LV"/>
              </w:rPr>
              <w:t xml:space="preserve"> </w:t>
            </w:r>
            <w:r w:rsidR="00331516" w:rsidRPr="00C664F4">
              <w:rPr>
                <w:rFonts w:ascii="Times New Roman" w:hAnsi="Times New Roman"/>
                <w:sz w:val="24"/>
                <w:lang w:val="lv-LV"/>
              </w:rPr>
              <w:t>monitori</w:t>
            </w:r>
            <w:r w:rsidR="00405EBD" w:rsidRPr="00C664F4">
              <w:rPr>
                <w:rFonts w:ascii="Times New Roman" w:hAnsi="Times New Roman"/>
                <w:sz w:val="24"/>
                <w:lang w:val="lv-LV"/>
              </w:rPr>
              <w:t xml:space="preserve">, ierakstīšanas ierīces </w:t>
            </w:r>
            <w:r w:rsidRPr="00C664F4">
              <w:rPr>
                <w:rFonts w:ascii="Times New Roman" w:hAnsi="Times New Roman"/>
                <w:sz w:val="24"/>
                <w:lang w:val="lv-LV"/>
              </w:rPr>
              <w:t>un to uzstādīšana</w:t>
            </w:r>
            <w:r w:rsidR="00367A6F" w:rsidRPr="00C664F4">
              <w:rPr>
                <w:rFonts w:ascii="Times New Roman" w:hAnsi="Times New Roman"/>
                <w:sz w:val="24"/>
                <w:lang w:val="lv-LV"/>
              </w:rPr>
              <w:t>;</w:t>
            </w:r>
          </w:p>
          <w:p w14:paraId="7394E8F2" w14:textId="561BD3E0" w:rsidR="002C3F8B" w:rsidRPr="00C664F4" w:rsidRDefault="002C3F8B" w:rsidP="00C664F4">
            <w:pPr>
              <w:pStyle w:val="ListParagraph"/>
              <w:numPr>
                <w:ilvl w:val="0"/>
                <w:numId w:val="1"/>
              </w:numPr>
              <w:ind w:left="291" w:hanging="284"/>
              <w:jc w:val="both"/>
              <w:rPr>
                <w:rFonts w:ascii="Times New Roman" w:hAnsi="Times New Roman"/>
                <w:sz w:val="24"/>
                <w:lang w:val="lv-LV"/>
              </w:rPr>
            </w:pPr>
            <w:r w:rsidRPr="00C664F4">
              <w:rPr>
                <w:rFonts w:ascii="Times New Roman" w:hAnsi="Times New Roman"/>
                <w:sz w:val="24"/>
                <w:lang w:val="lv-LV"/>
              </w:rPr>
              <w:t>Rezerves cauruļu ieguldīšana</w:t>
            </w:r>
            <w:r w:rsidR="00367A6F" w:rsidRPr="00C664F4">
              <w:rPr>
                <w:rFonts w:ascii="Times New Roman" w:hAnsi="Times New Roman"/>
                <w:sz w:val="24"/>
                <w:lang w:val="lv-LV"/>
              </w:rPr>
              <w:t>.</w:t>
            </w:r>
          </w:p>
          <w:p w14:paraId="6631AD1E" w14:textId="2F5A765D" w:rsidR="002C3F8B" w:rsidRPr="00C664F4" w:rsidRDefault="002C3F8B" w:rsidP="00C664F4">
            <w:pPr>
              <w:jc w:val="both"/>
              <w:rPr>
                <w:rFonts w:ascii="Times New Roman" w:hAnsi="Times New Roman"/>
                <w:sz w:val="24"/>
                <w:lang w:val="lv-LV"/>
              </w:rPr>
            </w:pPr>
          </w:p>
        </w:tc>
        <w:tc>
          <w:tcPr>
            <w:tcW w:w="6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ACB4D17" w14:textId="24679198" w:rsidR="002C3F8B" w:rsidRPr="00C664F4" w:rsidRDefault="002C3F8B" w:rsidP="00C664F4">
            <w:pPr>
              <w:jc w:val="both"/>
              <w:rPr>
                <w:rFonts w:ascii="Times New Roman" w:hAnsi="Times New Roman"/>
                <w:b/>
                <w:sz w:val="24"/>
                <w:lang w:val="lv-LV"/>
              </w:rPr>
            </w:pPr>
            <w:r w:rsidRPr="00C664F4">
              <w:rPr>
                <w:rFonts w:ascii="Times New Roman" w:hAnsi="Times New Roman"/>
                <w:b/>
                <w:bCs/>
                <w:sz w:val="24"/>
                <w:lang w:val="lv-LV"/>
              </w:rPr>
              <w:t>Izmaksas projektā nav iekļaujamas</w:t>
            </w:r>
            <w:r w:rsidR="000359B4" w:rsidRPr="00C664F4">
              <w:rPr>
                <w:rFonts w:ascii="Times New Roman" w:hAnsi="Times New Roman"/>
                <w:b/>
                <w:bCs/>
                <w:sz w:val="24"/>
                <w:lang w:val="lv-LV"/>
              </w:rPr>
              <w:t>.</w:t>
            </w:r>
          </w:p>
          <w:p w14:paraId="04592222" w14:textId="77777777" w:rsidR="002C3F8B" w:rsidRPr="00C664F4" w:rsidRDefault="002C3F8B" w:rsidP="00C664F4">
            <w:pPr>
              <w:jc w:val="both"/>
              <w:rPr>
                <w:rFonts w:ascii="Times New Roman" w:hAnsi="Times New Roman"/>
                <w:b/>
                <w:sz w:val="24"/>
                <w:lang w:val="lv-LV"/>
              </w:rPr>
            </w:pPr>
          </w:p>
        </w:tc>
      </w:tr>
      <w:tr w:rsidR="0062256C" w:rsidRPr="00583905" w14:paraId="2767A0CB" w14:textId="77777777" w:rsidTr="00C664F4">
        <w:trPr>
          <w:trHeight w:val="2221"/>
        </w:trPr>
        <w:tc>
          <w:tcPr>
            <w:tcW w:w="1975" w:type="dxa"/>
            <w:vMerge/>
            <w:tcBorders>
              <w:left w:val="single" w:sz="8" w:space="0" w:color="auto"/>
              <w:bottom w:val="nil"/>
              <w:right w:val="single" w:sz="8" w:space="0" w:color="auto"/>
            </w:tcBorders>
            <w:vAlign w:val="center"/>
            <w:hideMark/>
          </w:tcPr>
          <w:p w14:paraId="2996364E" w14:textId="77777777" w:rsidR="002C3F8B" w:rsidRPr="00C664F4" w:rsidRDefault="002C3F8B" w:rsidP="00E50EFE">
            <w:pPr>
              <w:jc w:val="center"/>
              <w:rPr>
                <w:rFonts w:ascii="Times New Roman" w:hAnsi="Times New Roman"/>
                <w:sz w:val="24"/>
                <w:lang w:val="lv-LV"/>
              </w:rPr>
            </w:pPr>
          </w:p>
        </w:tc>
        <w:tc>
          <w:tcPr>
            <w:tcW w:w="5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E06B0" w14:textId="34493542" w:rsidR="002C3F8B" w:rsidRPr="00C664F4" w:rsidRDefault="002C3F8B" w:rsidP="00C664F4">
            <w:pPr>
              <w:jc w:val="both"/>
              <w:rPr>
                <w:rFonts w:ascii="Times New Roman" w:hAnsi="Times New Roman"/>
                <w:sz w:val="24"/>
                <w:lang w:val="lv-LV"/>
              </w:rPr>
            </w:pPr>
            <w:r w:rsidRPr="00C664F4">
              <w:rPr>
                <w:rFonts w:ascii="Times New Roman" w:hAnsi="Times New Roman"/>
                <w:sz w:val="24"/>
                <w:lang w:val="lv-LV"/>
              </w:rPr>
              <w:t>Esošo vājstrāvu tīklu bojāšanas risks (pārcelšana vai padziļināšana, kabeļu kanalizācija (čaulas)) – nenotiek jaudas palielināšana</w:t>
            </w:r>
            <w:r w:rsidR="000359B4" w:rsidRPr="00C664F4">
              <w:rPr>
                <w:rFonts w:ascii="Times New Roman" w:hAnsi="Times New Roman"/>
                <w:sz w:val="24"/>
                <w:lang w:val="lv-LV"/>
              </w:rPr>
              <w:t>.</w:t>
            </w:r>
            <w:r w:rsidRPr="00C664F4">
              <w:rPr>
                <w:rFonts w:ascii="Times New Roman" w:hAnsi="Times New Roman"/>
                <w:sz w:val="24"/>
                <w:lang w:val="lv-LV"/>
              </w:rPr>
              <w:t xml:space="preserve">  </w:t>
            </w:r>
          </w:p>
        </w:tc>
        <w:tc>
          <w:tcPr>
            <w:tcW w:w="6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94331D3" w14:textId="77777777" w:rsidR="002C3F8B" w:rsidRPr="00C664F4" w:rsidRDefault="002C3F8B" w:rsidP="00C664F4">
            <w:pPr>
              <w:jc w:val="both"/>
              <w:rPr>
                <w:rFonts w:ascii="Times New Roman" w:hAnsi="Times New Roman"/>
                <w:b/>
                <w:sz w:val="24"/>
                <w:lang w:val="lv-LV"/>
              </w:rPr>
            </w:pPr>
            <w:r w:rsidRPr="00C664F4">
              <w:rPr>
                <w:rFonts w:ascii="Times New Roman" w:hAnsi="Times New Roman"/>
                <w:b/>
                <w:sz w:val="24"/>
                <w:lang w:val="lv-LV"/>
              </w:rPr>
              <w:t xml:space="preserve">Neattiecināmās izmaksas projektā – </w:t>
            </w:r>
            <w:r w:rsidRPr="00C664F4">
              <w:rPr>
                <w:rFonts w:ascii="Times New Roman" w:hAnsi="Times New Roman"/>
                <w:sz w:val="24"/>
                <w:lang w:val="lv-LV"/>
              </w:rPr>
              <w:t xml:space="preserve">finansē projekta iesniedzējs. </w:t>
            </w:r>
          </w:p>
          <w:p w14:paraId="69CE38D8" w14:textId="708B4A6E" w:rsidR="002C3F8B" w:rsidRPr="00C664F4" w:rsidRDefault="002C3F8B" w:rsidP="00C664F4">
            <w:pPr>
              <w:autoSpaceDE w:val="0"/>
              <w:autoSpaceDN w:val="0"/>
              <w:adjustRightInd w:val="0"/>
              <w:jc w:val="both"/>
              <w:rPr>
                <w:rFonts w:ascii="Times New Roman" w:hAnsi="Times New Roman"/>
                <w:b/>
                <w:sz w:val="24"/>
                <w:lang w:val="lv-LV"/>
              </w:rPr>
            </w:pPr>
            <w:r w:rsidRPr="00C664F4">
              <w:rPr>
                <w:rFonts w:ascii="Times New Roman" w:hAnsi="Times New Roman"/>
                <w:sz w:val="24"/>
                <w:lang w:val="lv-LV"/>
              </w:rPr>
              <w:t>Nepieciešams sertificēta būvinženiera ekspertīzes atzinums, kurā norādīts, ka pastāv infrastruktūras bojāšanas risks vai nav iespējams izvairīties no virszemes vai pazemes komunikāciju infrastruktūras pārbūves (ja projektā paredzētas satiksmes pārvadu, ielu, ceļu infrastruktūras būvniecības darbības)</w:t>
            </w:r>
            <w:r w:rsidRPr="00C664F4">
              <w:rPr>
                <w:rFonts w:ascii="Times New Roman" w:hAnsi="Times New Roman"/>
                <w:b/>
                <w:sz w:val="24"/>
                <w:lang w:val="lv-LV"/>
              </w:rPr>
              <w:t>.</w:t>
            </w:r>
          </w:p>
        </w:tc>
      </w:tr>
      <w:tr w:rsidR="0062256C" w:rsidRPr="00087081" w14:paraId="493669DC" w14:textId="77777777" w:rsidTr="00C664F4">
        <w:tc>
          <w:tcPr>
            <w:tcW w:w="1975" w:type="dxa"/>
            <w:vMerge/>
            <w:tcBorders>
              <w:left w:val="single" w:sz="8" w:space="0" w:color="auto"/>
              <w:right w:val="single" w:sz="8" w:space="0" w:color="auto"/>
            </w:tcBorders>
            <w:vAlign w:val="center"/>
            <w:hideMark/>
          </w:tcPr>
          <w:p w14:paraId="7EA2B1C0" w14:textId="77777777" w:rsidR="002C3F8B" w:rsidRPr="00C664F4" w:rsidRDefault="002C3F8B" w:rsidP="00E50EFE">
            <w:pPr>
              <w:jc w:val="center"/>
              <w:rPr>
                <w:rFonts w:ascii="Times New Roman" w:hAnsi="Times New Roman"/>
                <w:sz w:val="24"/>
                <w:lang w:val="lv-LV"/>
              </w:rPr>
            </w:pPr>
          </w:p>
        </w:tc>
        <w:tc>
          <w:tcPr>
            <w:tcW w:w="5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9FD60" w14:textId="4F66498E" w:rsidR="002C3F8B" w:rsidRPr="00C664F4" w:rsidRDefault="002C3F8B" w:rsidP="00C664F4">
            <w:pPr>
              <w:spacing w:after="120"/>
              <w:jc w:val="both"/>
              <w:rPr>
                <w:rFonts w:ascii="Times New Roman" w:hAnsi="Times New Roman"/>
                <w:sz w:val="24"/>
                <w:lang w:val="lv-LV"/>
              </w:rPr>
            </w:pPr>
            <w:r w:rsidRPr="00C664F4">
              <w:rPr>
                <w:rFonts w:ascii="Times New Roman" w:hAnsi="Times New Roman"/>
                <w:sz w:val="24"/>
                <w:lang w:val="lv-LV"/>
              </w:rPr>
              <w:t>Luksoforu sistēmas pieslēgšanai vadības pultij (vājstrāvu  tīkls), ja ir  pašvaldības īpašumā (t.i.,  tīkli nepieder trešajai pusei</w:t>
            </w:r>
            <w:r w:rsidR="000359B4" w:rsidRPr="00C664F4">
              <w:rPr>
                <w:rFonts w:ascii="Times New Roman" w:hAnsi="Times New Roman"/>
                <w:sz w:val="24"/>
                <w:lang w:val="lv-LV"/>
              </w:rPr>
              <w:t>.</w:t>
            </w:r>
          </w:p>
        </w:tc>
        <w:tc>
          <w:tcPr>
            <w:tcW w:w="6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A11A2" w14:textId="6E045A9F" w:rsidR="002C3F8B" w:rsidRPr="00C664F4" w:rsidRDefault="002C3F8B" w:rsidP="00C664F4">
            <w:pPr>
              <w:jc w:val="both"/>
              <w:rPr>
                <w:rFonts w:ascii="Times New Roman" w:hAnsi="Times New Roman"/>
                <w:sz w:val="24"/>
                <w:lang w:val="lv-LV"/>
              </w:rPr>
            </w:pPr>
            <w:r w:rsidRPr="00C664F4">
              <w:rPr>
                <w:rFonts w:ascii="Times New Roman" w:hAnsi="Times New Roman"/>
                <w:b/>
                <w:bCs/>
                <w:sz w:val="24"/>
                <w:lang w:val="lv-LV"/>
              </w:rPr>
              <w:t xml:space="preserve">Attiecināmās izmaksas </w:t>
            </w:r>
            <w:r w:rsidRPr="00C664F4">
              <w:rPr>
                <w:rFonts w:ascii="Times New Roman" w:hAnsi="Times New Roman"/>
                <w:sz w:val="24"/>
                <w:lang w:val="lv-LV"/>
              </w:rPr>
              <w:t>kā satiksmes infrastruktūras un ar to saistītās infrastruktūras izmaksas</w:t>
            </w:r>
            <w:r w:rsidR="000359B4" w:rsidRPr="00C664F4">
              <w:rPr>
                <w:rFonts w:ascii="Times New Roman" w:hAnsi="Times New Roman"/>
                <w:sz w:val="24"/>
                <w:lang w:val="lv-LV"/>
              </w:rPr>
              <w:t>.</w:t>
            </w:r>
          </w:p>
          <w:p w14:paraId="5D1351CF" w14:textId="77777777" w:rsidR="002C3F8B" w:rsidRPr="00C664F4" w:rsidRDefault="002C3F8B" w:rsidP="00C664F4">
            <w:pPr>
              <w:jc w:val="both"/>
              <w:rPr>
                <w:rFonts w:ascii="Times New Roman" w:hAnsi="Times New Roman"/>
                <w:b/>
                <w:sz w:val="24"/>
                <w:lang w:val="lv-LV"/>
              </w:rPr>
            </w:pPr>
          </w:p>
        </w:tc>
      </w:tr>
      <w:tr w:rsidR="0062256C" w:rsidRPr="00BA2E58" w14:paraId="028F3DBA" w14:textId="77777777" w:rsidTr="00C664F4">
        <w:trPr>
          <w:trHeight w:val="992"/>
        </w:trPr>
        <w:tc>
          <w:tcPr>
            <w:tcW w:w="1975" w:type="dxa"/>
            <w:vMerge/>
            <w:tcBorders>
              <w:left w:val="single" w:sz="8" w:space="0" w:color="auto"/>
              <w:right w:val="single" w:sz="8" w:space="0" w:color="auto"/>
            </w:tcBorders>
            <w:vAlign w:val="center"/>
            <w:hideMark/>
          </w:tcPr>
          <w:p w14:paraId="4787F9D5" w14:textId="77777777" w:rsidR="002C3F8B" w:rsidRPr="00C664F4" w:rsidRDefault="002C3F8B" w:rsidP="00E50EFE">
            <w:pPr>
              <w:jc w:val="center"/>
              <w:rPr>
                <w:rFonts w:ascii="Times New Roman" w:hAnsi="Times New Roman"/>
                <w:sz w:val="24"/>
                <w:lang w:val="lv-LV"/>
              </w:rPr>
            </w:pPr>
          </w:p>
        </w:tc>
        <w:tc>
          <w:tcPr>
            <w:tcW w:w="5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84336" w14:textId="73B878CA" w:rsidR="002C3F8B" w:rsidRPr="00C664F4" w:rsidRDefault="002C3F8B" w:rsidP="00C664F4">
            <w:pPr>
              <w:jc w:val="both"/>
              <w:rPr>
                <w:rFonts w:ascii="Times New Roman" w:hAnsi="Times New Roman"/>
                <w:sz w:val="24"/>
                <w:lang w:val="lv-LV"/>
              </w:rPr>
            </w:pPr>
            <w:r w:rsidRPr="00C664F4">
              <w:rPr>
                <w:rFonts w:ascii="Times New Roman" w:hAnsi="Times New Roman"/>
                <w:sz w:val="24"/>
                <w:lang w:val="lv-LV"/>
              </w:rPr>
              <w:t>Ielu apgaismojuma sistēmas pieslēgšana vadības pultij (vājstrāvu tīkls), ja ir</w:t>
            </w:r>
            <w:r w:rsidR="00C664F4">
              <w:rPr>
                <w:rFonts w:ascii="Times New Roman" w:hAnsi="Times New Roman"/>
                <w:sz w:val="24"/>
                <w:lang w:val="lv-LV"/>
              </w:rPr>
              <w:t xml:space="preserve"> </w:t>
            </w:r>
            <w:r w:rsidRPr="00C664F4">
              <w:rPr>
                <w:rFonts w:ascii="Times New Roman" w:hAnsi="Times New Roman"/>
                <w:sz w:val="24"/>
                <w:lang w:val="lv-LV"/>
              </w:rPr>
              <w:t>pašvaldības īpašumā</w:t>
            </w:r>
            <w:r w:rsidR="00C664F4">
              <w:rPr>
                <w:rFonts w:ascii="Times New Roman" w:hAnsi="Times New Roman"/>
                <w:sz w:val="24"/>
                <w:lang w:val="lv-LV"/>
              </w:rPr>
              <w:t xml:space="preserve">, </w:t>
            </w:r>
            <w:r w:rsidRPr="00C664F4">
              <w:rPr>
                <w:rFonts w:ascii="Times New Roman" w:hAnsi="Times New Roman"/>
                <w:sz w:val="24"/>
                <w:lang w:val="lv-LV"/>
              </w:rPr>
              <w:t>t.i.,  tīkli nepieder trešajai pusei</w:t>
            </w:r>
            <w:r w:rsidR="000359B4" w:rsidRPr="00C664F4">
              <w:rPr>
                <w:rFonts w:ascii="Times New Roman" w:hAnsi="Times New Roman"/>
                <w:sz w:val="24"/>
                <w:lang w:val="lv-LV"/>
              </w:rPr>
              <w:t>.</w:t>
            </w:r>
          </w:p>
        </w:tc>
        <w:tc>
          <w:tcPr>
            <w:tcW w:w="6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87387E" w14:textId="38156E83" w:rsidR="002C3F8B" w:rsidRPr="00C664F4" w:rsidRDefault="002C3F8B" w:rsidP="00C664F4">
            <w:pPr>
              <w:jc w:val="both"/>
              <w:rPr>
                <w:rFonts w:ascii="Times New Roman" w:hAnsi="Times New Roman"/>
                <w:b/>
                <w:bCs/>
                <w:sz w:val="24"/>
                <w:lang w:val="lv-LV"/>
              </w:rPr>
            </w:pPr>
            <w:r w:rsidRPr="00C664F4">
              <w:rPr>
                <w:rFonts w:ascii="Times New Roman" w:hAnsi="Times New Roman"/>
                <w:b/>
                <w:bCs/>
                <w:sz w:val="24"/>
                <w:lang w:val="lv-LV"/>
              </w:rPr>
              <w:t xml:space="preserve">Attiecināmās izmaksas </w:t>
            </w:r>
            <w:r w:rsidRPr="00C664F4">
              <w:rPr>
                <w:rFonts w:ascii="Times New Roman" w:hAnsi="Times New Roman"/>
                <w:sz w:val="24"/>
                <w:lang w:val="lv-LV"/>
              </w:rPr>
              <w:t>kā satiksmes infrastruktūras un ar to saistītās infrastruktūras izmaksas</w:t>
            </w:r>
            <w:r w:rsidR="000359B4" w:rsidRPr="00C664F4">
              <w:rPr>
                <w:rFonts w:ascii="Times New Roman" w:hAnsi="Times New Roman"/>
                <w:sz w:val="24"/>
                <w:lang w:val="lv-LV"/>
              </w:rPr>
              <w:t>.</w:t>
            </w:r>
          </w:p>
        </w:tc>
      </w:tr>
      <w:tr w:rsidR="0062256C" w:rsidRPr="00BA2E58" w14:paraId="5735EDDE" w14:textId="77777777" w:rsidTr="00C664F4">
        <w:trPr>
          <w:trHeight w:val="1442"/>
        </w:trPr>
        <w:tc>
          <w:tcPr>
            <w:tcW w:w="1975" w:type="dxa"/>
            <w:vMerge/>
            <w:tcBorders>
              <w:left w:val="single" w:sz="8" w:space="0" w:color="auto"/>
              <w:bottom w:val="single" w:sz="8" w:space="0" w:color="auto"/>
              <w:right w:val="single" w:sz="8" w:space="0" w:color="auto"/>
            </w:tcBorders>
            <w:vAlign w:val="center"/>
          </w:tcPr>
          <w:p w14:paraId="066B0A3F" w14:textId="77777777" w:rsidR="002C3F8B" w:rsidRPr="00C664F4" w:rsidRDefault="002C3F8B" w:rsidP="00E50EFE">
            <w:pPr>
              <w:jc w:val="center"/>
              <w:rPr>
                <w:rFonts w:ascii="Times New Roman" w:hAnsi="Times New Roman"/>
                <w:sz w:val="24"/>
                <w:lang w:val="lv-LV"/>
              </w:rPr>
            </w:pPr>
          </w:p>
        </w:tc>
        <w:tc>
          <w:tcPr>
            <w:tcW w:w="53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374D366" w14:textId="52759152" w:rsidR="002C3F8B" w:rsidRPr="00C664F4" w:rsidRDefault="002C3F8B" w:rsidP="00C664F4">
            <w:pPr>
              <w:jc w:val="both"/>
              <w:rPr>
                <w:rFonts w:ascii="Times New Roman" w:hAnsi="Times New Roman"/>
                <w:sz w:val="24"/>
                <w:lang w:val="lv-LV"/>
              </w:rPr>
            </w:pPr>
            <w:r w:rsidRPr="00C664F4">
              <w:rPr>
                <w:rFonts w:ascii="Times New Roman" w:hAnsi="Times New Roman"/>
                <w:sz w:val="24"/>
                <w:lang w:val="lv-LV"/>
              </w:rPr>
              <w:t>Ielu videonovērošanas sistēm</w:t>
            </w:r>
            <w:r w:rsidR="0050572C" w:rsidRPr="00C664F4">
              <w:rPr>
                <w:rFonts w:ascii="Times New Roman" w:hAnsi="Times New Roman"/>
                <w:sz w:val="24"/>
                <w:lang w:val="lv-LV"/>
              </w:rPr>
              <w:t>u pārbūve</w:t>
            </w:r>
            <w:r w:rsidRPr="00C664F4">
              <w:rPr>
                <w:rFonts w:ascii="Times New Roman" w:hAnsi="Times New Roman"/>
                <w:sz w:val="24"/>
                <w:lang w:val="lv-LV"/>
              </w:rPr>
              <w:t>, ja ir pašvaldības īpašumā</w:t>
            </w:r>
            <w:r w:rsidR="00405EBD" w:rsidRPr="00C664F4">
              <w:rPr>
                <w:rFonts w:ascii="Times New Roman" w:hAnsi="Times New Roman"/>
                <w:sz w:val="24"/>
                <w:lang w:val="lv-LV"/>
              </w:rPr>
              <w:t>, t.sk. videonovērošanas kameras, monitori, ierakstīšanas ierīces un to uzstādīšana, ja ir pašvaldības īpašumā</w:t>
            </w:r>
            <w:r w:rsidR="000359B4" w:rsidRPr="00C664F4">
              <w:rPr>
                <w:rFonts w:ascii="Times New Roman" w:hAnsi="Times New Roman"/>
                <w:sz w:val="24"/>
                <w:lang w:val="lv-LV"/>
              </w:rPr>
              <w:t>.</w:t>
            </w:r>
          </w:p>
        </w:tc>
        <w:tc>
          <w:tcPr>
            <w:tcW w:w="6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DED8F4" w14:textId="293D6F08" w:rsidR="002C3F8B" w:rsidRPr="00C664F4" w:rsidRDefault="002C3F8B" w:rsidP="00C664F4">
            <w:pPr>
              <w:jc w:val="both"/>
              <w:rPr>
                <w:rFonts w:ascii="Times New Roman" w:hAnsi="Times New Roman"/>
                <w:b/>
                <w:bCs/>
                <w:sz w:val="24"/>
                <w:lang w:val="lv-LV"/>
              </w:rPr>
            </w:pPr>
            <w:r w:rsidRPr="00C664F4">
              <w:rPr>
                <w:rFonts w:ascii="Times New Roman" w:hAnsi="Times New Roman"/>
                <w:b/>
                <w:bCs/>
                <w:sz w:val="24"/>
                <w:lang w:val="lv-LV"/>
              </w:rPr>
              <w:t xml:space="preserve">Attiecināmās izmaksas </w:t>
            </w:r>
            <w:r w:rsidRPr="00C664F4">
              <w:rPr>
                <w:rFonts w:ascii="Times New Roman" w:hAnsi="Times New Roman"/>
                <w:sz w:val="24"/>
                <w:lang w:val="lv-LV"/>
              </w:rPr>
              <w:t>kā satiksmes infrastruktūras un ar to saistītās infrastruktūras izmaksas</w:t>
            </w:r>
            <w:r w:rsidR="000359B4" w:rsidRPr="00C664F4">
              <w:rPr>
                <w:rFonts w:ascii="Times New Roman" w:hAnsi="Times New Roman"/>
                <w:sz w:val="24"/>
                <w:lang w:val="lv-LV"/>
              </w:rPr>
              <w:t>.</w:t>
            </w:r>
          </w:p>
        </w:tc>
      </w:tr>
      <w:tr w:rsidR="0062256C" w:rsidRPr="00790A8E" w14:paraId="1F426030" w14:textId="77777777" w:rsidTr="00C664F4">
        <w:tc>
          <w:tcPr>
            <w:tcW w:w="1975"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59D31F6B" w14:textId="3C10A02D" w:rsidR="00562103" w:rsidRPr="00C664F4" w:rsidRDefault="00562103" w:rsidP="0062256C">
            <w:pPr>
              <w:jc w:val="both"/>
              <w:rPr>
                <w:rFonts w:ascii="Times New Roman" w:hAnsi="Times New Roman"/>
                <w:b/>
                <w:sz w:val="24"/>
                <w:lang w:val="lv-LV"/>
              </w:rPr>
            </w:pPr>
            <w:r w:rsidRPr="00C664F4">
              <w:rPr>
                <w:rFonts w:ascii="Times New Roman" w:hAnsi="Times New Roman"/>
                <w:b/>
                <w:sz w:val="24"/>
                <w:lang w:val="lv-LV"/>
              </w:rPr>
              <w:t>Ēkas</w:t>
            </w:r>
            <w:r w:rsidR="000359B4" w:rsidRPr="00C664F4">
              <w:rPr>
                <w:rFonts w:ascii="Times New Roman" w:hAnsi="Times New Roman"/>
                <w:b/>
                <w:sz w:val="24"/>
                <w:lang w:val="lv-LV"/>
              </w:rPr>
              <w:t>, t.sk.</w:t>
            </w:r>
            <w:r w:rsidR="0062256C" w:rsidRPr="00C664F4">
              <w:rPr>
                <w:rFonts w:ascii="Times New Roman" w:hAnsi="Times New Roman"/>
                <w:b/>
                <w:sz w:val="24"/>
                <w:lang w:val="lv-LV"/>
              </w:rPr>
              <w:t xml:space="preserve"> ēku</w:t>
            </w:r>
          </w:p>
          <w:p w14:paraId="4F89EE8D" w14:textId="588D1A9E" w:rsidR="000359B4" w:rsidRPr="00C664F4" w:rsidRDefault="00C96CCE" w:rsidP="0062256C">
            <w:pPr>
              <w:jc w:val="both"/>
              <w:rPr>
                <w:rFonts w:ascii="Times New Roman" w:hAnsi="Times New Roman"/>
                <w:b/>
                <w:sz w:val="24"/>
                <w:lang w:val="lv-LV"/>
              </w:rPr>
            </w:pPr>
            <w:r w:rsidRPr="00C664F4">
              <w:rPr>
                <w:rFonts w:ascii="Times New Roman" w:hAnsi="Times New Roman"/>
                <w:b/>
                <w:sz w:val="24"/>
                <w:lang w:val="lv-LV"/>
              </w:rPr>
              <w:t>t</w:t>
            </w:r>
            <w:r w:rsidR="000359B4" w:rsidRPr="00C664F4">
              <w:rPr>
                <w:rFonts w:ascii="Times New Roman" w:hAnsi="Times New Roman"/>
                <w:b/>
                <w:sz w:val="24"/>
                <w:lang w:val="lv-LV"/>
              </w:rPr>
              <w:t>eritorij</w:t>
            </w:r>
            <w:r w:rsidRPr="00C664F4">
              <w:rPr>
                <w:rFonts w:ascii="Times New Roman" w:hAnsi="Times New Roman"/>
                <w:b/>
                <w:sz w:val="24"/>
                <w:lang w:val="lv-LV"/>
              </w:rPr>
              <w:t xml:space="preserve">u </w:t>
            </w:r>
            <w:r w:rsidR="000359B4" w:rsidRPr="00C664F4">
              <w:rPr>
                <w:rFonts w:ascii="Times New Roman" w:hAnsi="Times New Roman"/>
                <w:b/>
                <w:sz w:val="24"/>
                <w:lang w:val="lv-LV"/>
              </w:rPr>
              <w:t>infrastruktūra</w:t>
            </w:r>
            <w:r w:rsidR="0062256C" w:rsidRPr="00C664F4">
              <w:rPr>
                <w:rFonts w:ascii="Times New Roman" w:hAnsi="Times New Roman"/>
                <w:b/>
                <w:sz w:val="24"/>
                <w:lang w:val="lv-LV"/>
              </w:rPr>
              <w:t xml:space="preserve">, </w:t>
            </w:r>
            <w:r w:rsidR="000359B4" w:rsidRPr="00C664F4">
              <w:rPr>
                <w:rFonts w:ascii="Times New Roman" w:hAnsi="Times New Roman"/>
                <w:b/>
                <w:sz w:val="24"/>
                <w:lang w:val="lv-LV"/>
              </w:rPr>
              <w:t xml:space="preserve"> (laukumi, u</w:t>
            </w:r>
            <w:r w:rsidR="0062256C" w:rsidRPr="00C664F4">
              <w:rPr>
                <w:rFonts w:ascii="Times New Roman" w:hAnsi="Times New Roman"/>
                <w:b/>
                <w:sz w:val="24"/>
                <w:lang w:val="lv-LV"/>
              </w:rPr>
              <w:t>.</w:t>
            </w:r>
            <w:r w:rsidR="000359B4" w:rsidRPr="00C664F4">
              <w:rPr>
                <w:rFonts w:ascii="Times New Roman" w:hAnsi="Times New Roman"/>
                <w:b/>
                <w:sz w:val="24"/>
                <w:lang w:val="lv-LV"/>
              </w:rPr>
              <w:t xml:space="preserve"> tml.)</w:t>
            </w:r>
          </w:p>
        </w:tc>
        <w:tc>
          <w:tcPr>
            <w:tcW w:w="5316" w:type="dxa"/>
            <w:tcBorders>
              <w:top w:val="nil"/>
              <w:left w:val="nil"/>
              <w:bottom w:val="single" w:sz="8" w:space="0" w:color="auto"/>
              <w:right w:val="single" w:sz="8" w:space="0" w:color="auto"/>
            </w:tcBorders>
            <w:tcMar>
              <w:top w:w="0" w:type="dxa"/>
              <w:left w:w="108" w:type="dxa"/>
              <w:bottom w:w="0" w:type="dxa"/>
              <w:right w:w="108" w:type="dxa"/>
            </w:tcMar>
            <w:hideMark/>
          </w:tcPr>
          <w:p w14:paraId="79917149" w14:textId="38CB8456" w:rsidR="00562103" w:rsidRPr="00C664F4" w:rsidRDefault="00562103" w:rsidP="00C664F4">
            <w:pPr>
              <w:jc w:val="both"/>
              <w:rPr>
                <w:rFonts w:ascii="Times New Roman" w:hAnsi="Times New Roman"/>
                <w:sz w:val="24"/>
                <w:lang w:val="lv-LV"/>
              </w:rPr>
            </w:pPr>
            <w:r w:rsidRPr="00C664F4">
              <w:rPr>
                <w:rFonts w:ascii="Times New Roman" w:hAnsi="Times New Roman"/>
                <w:sz w:val="24"/>
                <w:lang w:val="lv-LV"/>
              </w:rPr>
              <w:t>Jaunu vājstrāvu tīklu izbūve vai esošo vājstrāvu tīklu pārbūve ar jaudas palielināšanu (piem.,  telekomunikāciju, apsardzes signalizācijas, ugunsdzēsības automātikas</w:t>
            </w:r>
            <w:r w:rsidR="0050572C" w:rsidRPr="00C664F4">
              <w:rPr>
                <w:rFonts w:ascii="Times New Roman" w:hAnsi="Times New Roman"/>
                <w:sz w:val="24"/>
                <w:lang w:val="lv-LV"/>
              </w:rPr>
              <w:t>, piekļuves kontroles</w:t>
            </w:r>
            <w:r w:rsidRPr="00C664F4">
              <w:rPr>
                <w:rFonts w:ascii="Times New Roman" w:hAnsi="Times New Roman"/>
                <w:sz w:val="24"/>
                <w:lang w:val="lv-LV"/>
              </w:rPr>
              <w:t xml:space="preserve"> </w:t>
            </w:r>
            <w:r w:rsidRPr="00C664F4">
              <w:rPr>
                <w:rFonts w:ascii="Times New Roman" w:hAnsi="Times New Roman"/>
                <w:sz w:val="24"/>
                <w:lang w:val="lv-LV"/>
              </w:rPr>
              <w:lastRenderedPageBreak/>
              <w:t>tīkli)</w:t>
            </w:r>
            <w:r w:rsidR="00B47464" w:rsidRPr="00C664F4">
              <w:rPr>
                <w:rFonts w:ascii="Times New Roman" w:hAnsi="Times New Roman"/>
                <w:sz w:val="24"/>
                <w:lang w:val="lv-LV"/>
              </w:rPr>
              <w:t>, ja ir pašvaldības īpašumā (t.i., tīkli nepieder trešajai pusei)</w:t>
            </w:r>
            <w:r w:rsidR="00FE268A" w:rsidRPr="00C664F4">
              <w:rPr>
                <w:rFonts w:ascii="Times New Roman" w:hAnsi="Times New Roman"/>
                <w:sz w:val="24"/>
                <w:lang w:val="lv-LV"/>
              </w:rPr>
              <w:t>.</w:t>
            </w:r>
            <w:r w:rsidRPr="00C664F4">
              <w:rPr>
                <w:rFonts w:ascii="Times New Roman" w:hAnsi="Times New Roman"/>
                <w:sz w:val="24"/>
                <w:lang w:val="lv-LV"/>
              </w:rPr>
              <w:t xml:space="preserve"> </w:t>
            </w:r>
          </w:p>
        </w:tc>
        <w:tc>
          <w:tcPr>
            <w:tcW w:w="6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5B85D" w14:textId="77777777" w:rsidR="00562103" w:rsidRPr="00C664F4" w:rsidRDefault="00562103" w:rsidP="00C664F4">
            <w:pPr>
              <w:rPr>
                <w:rFonts w:ascii="Times New Roman" w:hAnsi="Times New Roman"/>
                <w:sz w:val="24"/>
                <w:lang w:val="lv-LV"/>
              </w:rPr>
            </w:pPr>
            <w:r w:rsidRPr="00C664F4">
              <w:rPr>
                <w:rFonts w:ascii="Times New Roman" w:hAnsi="Times New Roman"/>
                <w:b/>
                <w:bCs/>
                <w:sz w:val="24"/>
                <w:lang w:val="lv-LV"/>
              </w:rPr>
              <w:lastRenderedPageBreak/>
              <w:t xml:space="preserve">Attiecināmās izmaksas </w:t>
            </w:r>
            <w:r w:rsidRPr="00C664F4">
              <w:rPr>
                <w:rFonts w:ascii="Times New Roman" w:hAnsi="Times New Roman"/>
                <w:sz w:val="24"/>
                <w:lang w:val="lv-LV"/>
              </w:rPr>
              <w:t>ēkas funkcionalitātes nodrošināšanai (ja projektā paredzētas ēkas infrastruktūras būvniecības darbības).</w:t>
            </w:r>
          </w:p>
          <w:p w14:paraId="2DF723BC" w14:textId="30D68554" w:rsidR="00562103" w:rsidRPr="00C664F4" w:rsidRDefault="00562103" w:rsidP="00C664F4">
            <w:pPr>
              <w:rPr>
                <w:rFonts w:ascii="Times New Roman" w:hAnsi="Times New Roman"/>
                <w:sz w:val="24"/>
                <w:lang w:val="lv-LV"/>
              </w:rPr>
            </w:pPr>
          </w:p>
          <w:p w14:paraId="5BB3E418" w14:textId="19040C52" w:rsidR="00562103" w:rsidRPr="00C664F4" w:rsidRDefault="00562103" w:rsidP="00C664F4">
            <w:pPr>
              <w:rPr>
                <w:rFonts w:ascii="Times New Roman" w:hAnsi="Times New Roman"/>
                <w:b/>
                <w:sz w:val="24"/>
                <w:lang w:val="lv-LV"/>
              </w:rPr>
            </w:pPr>
          </w:p>
        </w:tc>
      </w:tr>
      <w:tr w:rsidR="0062256C" w:rsidRPr="00583905" w14:paraId="41DD85BB" w14:textId="77777777" w:rsidTr="00062A1A">
        <w:trPr>
          <w:trHeight w:val="1529"/>
        </w:trPr>
        <w:tc>
          <w:tcPr>
            <w:tcW w:w="1975" w:type="dxa"/>
            <w:vMerge/>
            <w:tcBorders>
              <w:left w:val="single" w:sz="8" w:space="0" w:color="auto"/>
              <w:right w:val="single" w:sz="8" w:space="0" w:color="auto"/>
            </w:tcBorders>
            <w:vAlign w:val="center"/>
            <w:hideMark/>
          </w:tcPr>
          <w:p w14:paraId="5070C164" w14:textId="77777777" w:rsidR="00562103" w:rsidRPr="00C664F4" w:rsidRDefault="00562103">
            <w:pPr>
              <w:rPr>
                <w:rFonts w:ascii="Times New Roman" w:hAnsi="Times New Roman"/>
                <w:sz w:val="24"/>
                <w:lang w:val="lv-LV"/>
              </w:rPr>
            </w:pPr>
            <w:bookmarkStart w:id="0" w:name="_GoBack" w:colFirst="1" w:colLast="1"/>
          </w:p>
        </w:tc>
        <w:tc>
          <w:tcPr>
            <w:tcW w:w="531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0B7FCC3" w14:textId="52C59D97" w:rsidR="00562103" w:rsidRPr="00C664F4" w:rsidRDefault="00562103" w:rsidP="00062A1A">
            <w:pPr>
              <w:jc w:val="both"/>
              <w:rPr>
                <w:rFonts w:ascii="Times New Roman" w:hAnsi="Times New Roman"/>
                <w:sz w:val="24"/>
                <w:lang w:val="lv-LV"/>
              </w:rPr>
            </w:pPr>
            <w:r w:rsidRPr="00C664F4">
              <w:rPr>
                <w:rFonts w:ascii="Times New Roman" w:hAnsi="Times New Roman"/>
                <w:sz w:val="24"/>
                <w:lang w:val="lv-LV"/>
              </w:rPr>
              <w:t xml:space="preserve">Esošo vājstrāvu tīklu bojāšanas risks (pārcelšana vai padziļināšana, kabeļu kanalizācija (čaulas)) – nenotiek jaudas palielināšana </w:t>
            </w:r>
          </w:p>
          <w:p w14:paraId="7D6879BC" w14:textId="77777777" w:rsidR="00562103" w:rsidRPr="00C664F4" w:rsidRDefault="00562103" w:rsidP="00062A1A">
            <w:pPr>
              <w:jc w:val="both"/>
              <w:rPr>
                <w:rFonts w:ascii="Times New Roman" w:hAnsi="Times New Roman"/>
                <w:sz w:val="24"/>
                <w:lang w:val="lv-LV"/>
              </w:rPr>
            </w:pPr>
          </w:p>
        </w:tc>
        <w:tc>
          <w:tcPr>
            <w:tcW w:w="6567" w:type="dxa"/>
            <w:tcBorders>
              <w:top w:val="nil"/>
              <w:left w:val="nil"/>
              <w:bottom w:val="single" w:sz="4" w:space="0" w:color="auto"/>
              <w:right w:val="single" w:sz="8" w:space="0" w:color="auto"/>
            </w:tcBorders>
            <w:tcMar>
              <w:top w:w="0" w:type="dxa"/>
              <w:left w:w="108" w:type="dxa"/>
              <w:bottom w:w="0" w:type="dxa"/>
              <w:right w:w="108" w:type="dxa"/>
            </w:tcMar>
            <w:hideMark/>
          </w:tcPr>
          <w:p w14:paraId="2C132AA4" w14:textId="30B883A8" w:rsidR="00562103" w:rsidRDefault="00562103" w:rsidP="00C96CCE">
            <w:pPr>
              <w:jc w:val="both"/>
              <w:rPr>
                <w:rFonts w:ascii="Times New Roman" w:hAnsi="Times New Roman"/>
                <w:sz w:val="24"/>
                <w:lang w:val="lv-LV"/>
              </w:rPr>
            </w:pPr>
            <w:r w:rsidRPr="00C664F4">
              <w:rPr>
                <w:rFonts w:ascii="Times New Roman" w:hAnsi="Times New Roman"/>
                <w:b/>
                <w:sz w:val="24"/>
                <w:lang w:val="lv-LV"/>
              </w:rPr>
              <w:t xml:space="preserve">Neattiecināmās  izmaksas projektā – </w:t>
            </w:r>
            <w:r w:rsidRPr="00C664F4">
              <w:rPr>
                <w:rFonts w:ascii="Times New Roman" w:hAnsi="Times New Roman"/>
                <w:sz w:val="24"/>
                <w:lang w:val="lv-LV"/>
              </w:rPr>
              <w:t xml:space="preserve">finansē projekta iesniedzējs. </w:t>
            </w:r>
          </w:p>
          <w:p w14:paraId="319F9721" w14:textId="77777777" w:rsidR="00C664F4" w:rsidRPr="00C664F4" w:rsidRDefault="00C664F4" w:rsidP="00C96CCE">
            <w:pPr>
              <w:jc w:val="both"/>
              <w:rPr>
                <w:rFonts w:ascii="Times New Roman" w:hAnsi="Times New Roman"/>
                <w:sz w:val="24"/>
                <w:lang w:val="lv-LV"/>
              </w:rPr>
            </w:pPr>
          </w:p>
          <w:p w14:paraId="773554BF" w14:textId="4B597224" w:rsidR="0062256C" w:rsidRPr="00C664F4" w:rsidRDefault="00562103" w:rsidP="00C96CCE">
            <w:pPr>
              <w:jc w:val="both"/>
              <w:rPr>
                <w:rFonts w:ascii="Times New Roman" w:hAnsi="Times New Roman"/>
                <w:sz w:val="24"/>
                <w:lang w:val="lv-LV"/>
              </w:rPr>
            </w:pPr>
            <w:r w:rsidRPr="00C664F4">
              <w:rPr>
                <w:rFonts w:ascii="Times New Roman" w:hAnsi="Times New Roman"/>
                <w:sz w:val="24"/>
                <w:lang w:val="lv-LV"/>
              </w:rPr>
              <w:t xml:space="preserve">Nepieciešams sertificēta būvinženiera ekspertīzes atzinums, kurā norādīts, ka pastāv infrastruktūras bojāšanas risks vai nav iespējams izvairīties no virszemes vai pazemes komunikāciju infrastruktūras pārbūves (ja projektā paredzētas </w:t>
            </w:r>
            <w:r w:rsidR="0062256C" w:rsidRPr="00C664F4">
              <w:rPr>
                <w:rFonts w:ascii="Times New Roman" w:hAnsi="Times New Roman"/>
                <w:sz w:val="24"/>
                <w:lang w:val="lv-LV"/>
              </w:rPr>
              <w:t>teritorijas labiekārtošanas</w:t>
            </w:r>
            <w:r w:rsidRPr="00C664F4">
              <w:rPr>
                <w:rFonts w:ascii="Times New Roman" w:hAnsi="Times New Roman"/>
                <w:sz w:val="24"/>
                <w:lang w:val="lv-LV"/>
              </w:rPr>
              <w:t xml:space="preserve"> darbības).</w:t>
            </w:r>
          </w:p>
          <w:p w14:paraId="2277A557" w14:textId="77777777" w:rsidR="0062256C" w:rsidRPr="00C664F4" w:rsidRDefault="0062256C" w:rsidP="00C96CCE">
            <w:pPr>
              <w:jc w:val="both"/>
              <w:rPr>
                <w:rFonts w:ascii="Times New Roman" w:hAnsi="Times New Roman"/>
                <w:b/>
                <w:bCs/>
                <w:sz w:val="24"/>
                <w:lang w:val="lv-LV"/>
              </w:rPr>
            </w:pPr>
          </w:p>
          <w:p w14:paraId="32CC1AC6" w14:textId="10E1465C" w:rsidR="00562103" w:rsidRPr="00C664F4" w:rsidRDefault="00562103" w:rsidP="00C96CCE">
            <w:pPr>
              <w:jc w:val="both"/>
              <w:rPr>
                <w:rFonts w:ascii="Times New Roman" w:hAnsi="Times New Roman"/>
                <w:sz w:val="24"/>
                <w:lang w:val="lv-LV"/>
              </w:rPr>
            </w:pPr>
            <w:r w:rsidRPr="00C664F4">
              <w:rPr>
                <w:rFonts w:ascii="Times New Roman" w:hAnsi="Times New Roman"/>
                <w:b/>
                <w:bCs/>
                <w:sz w:val="24"/>
                <w:lang w:val="lv-LV"/>
              </w:rPr>
              <w:t xml:space="preserve">Attiecināmās izmaksas </w:t>
            </w:r>
            <w:r w:rsidRPr="00C664F4">
              <w:rPr>
                <w:rFonts w:ascii="Times New Roman" w:hAnsi="Times New Roman"/>
                <w:sz w:val="24"/>
                <w:lang w:val="lv-LV"/>
              </w:rPr>
              <w:t>ēkas funkcionalitātes nodrošināšanai (ja projektā paredzētas ēkas infrastruktūras būvniecības darbības</w:t>
            </w:r>
            <w:r w:rsidR="00E14819" w:rsidRPr="00C664F4">
              <w:rPr>
                <w:rFonts w:ascii="Times New Roman" w:hAnsi="Times New Roman"/>
                <w:sz w:val="24"/>
                <w:lang w:val="lv-LV"/>
              </w:rPr>
              <w:t xml:space="preserve"> un tīkli ir pašvaldības īpašumā (t.i., tīkli nepieder trešajai pusei)</w:t>
            </w:r>
            <w:r w:rsidRPr="00C664F4">
              <w:rPr>
                <w:rFonts w:ascii="Times New Roman" w:hAnsi="Times New Roman"/>
                <w:sz w:val="24"/>
                <w:lang w:val="lv-LV"/>
              </w:rPr>
              <w:t>).</w:t>
            </w:r>
          </w:p>
          <w:p w14:paraId="54757239" w14:textId="77777777" w:rsidR="00562103" w:rsidRPr="00C664F4" w:rsidRDefault="00562103">
            <w:pPr>
              <w:rPr>
                <w:rFonts w:ascii="Times New Roman" w:hAnsi="Times New Roman"/>
                <w:b/>
                <w:sz w:val="24"/>
                <w:lang w:val="lv-LV"/>
              </w:rPr>
            </w:pPr>
          </w:p>
          <w:p w14:paraId="1CA6B0E8" w14:textId="77777777" w:rsidR="00562103" w:rsidRPr="00C664F4" w:rsidRDefault="00562103">
            <w:pPr>
              <w:rPr>
                <w:rFonts w:ascii="Times New Roman" w:hAnsi="Times New Roman"/>
                <w:b/>
                <w:sz w:val="24"/>
                <w:lang w:val="lv-LV"/>
              </w:rPr>
            </w:pPr>
          </w:p>
        </w:tc>
      </w:tr>
      <w:bookmarkEnd w:id="0"/>
      <w:tr w:rsidR="0062256C" w:rsidRPr="00583905" w14:paraId="36585F31" w14:textId="77777777" w:rsidTr="00C664F4">
        <w:trPr>
          <w:trHeight w:val="782"/>
        </w:trPr>
        <w:tc>
          <w:tcPr>
            <w:tcW w:w="1975" w:type="dxa"/>
            <w:vMerge/>
            <w:tcBorders>
              <w:left w:val="single" w:sz="8" w:space="0" w:color="auto"/>
              <w:bottom w:val="single" w:sz="4" w:space="0" w:color="auto"/>
              <w:right w:val="single" w:sz="8" w:space="0" w:color="auto"/>
            </w:tcBorders>
            <w:vAlign w:val="center"/>
          </w:tcPr>
          <w:p w14:paraId="5EC1860A" w14:textId="77777777" w:rsidR="00562103" w:rsidRPr="00C664F4" w:rsidRDefault="00562103">
            <w:pPr>
              <w:rPr>
                <w:rFonts w:ascii="Times New Roman" w:hAnsi="Times New Roman"/>
                <w:sz w:val="24"/>
                <w:lang w:val="lv-LV"/>
              </w:rPr>
            </w:pPr>
          </w:p>
        </w:tc>
        <w:tc>
          <w:tcPr>
            <w:tcW w:w="531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7C2A3CDA" w14:textId="6871F7D8" w:rsidR="00562103" w:rsidRPr="00C664F4" w:rsidRDefault="00562103" w:rsidP="00C24A25">
            <w:pPr>
              <w:pStyle w:val="ListParagraph"/>
              <w:numPr>
                <w:ilvl w:val="0"/>
                <w:numId w:val="4"/>
              </w:numPr>
              <w:ind w:left="184" w:hanging="184"/>
              <w:rPr>
                <w:rFonts w:ascii="Times New Roman" w:hAnsi="Times New Roman"/>
                <w:sz w:val="24"/>
                <w:lang w:val="lv-LV"/>
              </w:rPr>
            </w:pPr>
            <w:r w:rsidRPr="00C664F4">
              <w:rPr>
                <w:rFonts w:ascii="Times New Roman" w:hAnsi="Times New Roman"/>
                <w:sz w:val="24"/>
                <w:lang w:val="lv-LV"/>
              </w:rPr>
              <w:t>Videonovērošanas kameras, monitori</w:t>
            </w:r>
            <w:r w:rsidR="00405EBD" w:rsidRPr="00C664F4">
              <w:rPr>
                <w:rFonts w:ascii="Times New Roman" w:hAnsi="Times New Roman"/>
                <w:sz w:val="24"/>
                <w:lang w:val="lv-LV"/>
              </w:rPr>
              <w:t>, ierakstīšanas ierīces</w:t>
            </w:r>
            <w:r w:rsidRPr="00C664F4">
              <w:rPr>
                <w:rFonts w:ascii="Times New Roman" w:hAnsi="Times New Roman"/>
                <w:sz w:val="24"/>
                <w:lang w:val="lv-LV"/>
              </w:rPr>
              <w:t xml:space="preserve"> un to uzstādīšana</w:t>
            </w:r>
            <w:r w:rsidR="00C24A25" w:rsidRPr="00C664F4">
              <w:rPr>
                <w:rFonts w:ascii="Times New Roman" w:hAnsi="Times New Roman"/>
                <w:sz w:val="24"/>
                <w:lang w:val="lv-LV"/>
              </w:rPr>
              <w:t>;</w:t>
            </w:r>
          </w:p>
          <w:p w14:paraId="41402777" w14:textId="0EB0D3C2" w:rsidR="00562103" w:rsidRPr="00C664F4" w:rsidRDefault="00C24A25" w:rsidP="00C664F4">
            <w:pPr>
              <w:pStyle w:val="ListParagraph"/>
              <w:numPr>
                <w:ilvl w:val="0"/>
                <w:numId w:val="4"/>
              </w:numPr>
              <w:ind w:left="184" w:hanging="184"/>
              <w:rPr>
                <w:rFonts w:ascii="Times New Roman" w:hAnsi="Times New Roman"/>
                <w:sz w:val="24"/>
                <w:lang w:val="lv-LV"/>
              </w:rPr>
            </w:pPr>
            <w:r w:rsidRPr="00C664F4">
              <w:rPr>
                <w:rFonts w:ascii="Times New Roman" w:hAnsi="Times New Roman"/>
                <w:sz w:val="24"/>
                <w:lang w:val="lv-LV"/>
              </w:rPr>
              <w:t>Rezerves cauruļu ieguldīšana.</w:t>
            </w:r>
          </w:p>
        </w:tc>
        <w:tc>
          <w:tcPr>
            <w:tcW w:w="6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1F9BE" w14:textId="2FC51430" w:rsidR="00562103" w:rsidRPr="00C664F4" w:rsidRDefault="00562103" w:rsidP="00C664F4">
            <w:pPr>
              <w:rPr>
                <w:rFonts w:ascii="Times New Roman" w:hAnsi="Times New Roman"/>
                <w:sz w:val="24"/>
                <w:lang w:val="lv-LV"/>
              </w:rPr>
            </w:pPr>
            <w:r w:rsidRPr="00C664F4">
              <w:rPr>
                <w:rFonts w:ascii="Times New Roman" w:hAnsi="Times New Roman"/>
                <w:b/>
                <w:sz w:val="24"/>
                <w:lang w:val="lv-LV"/>
              </w:rPr>
              <w:t>Izmaksas projektā nav iekļaujamas</w:t>
            </w:r>
            <w:r w:rsidR="000359B4" w:rsidRPr="00C664F4">
              <w:rPr>
                <w:rFonts w:ascii="Times New Roman" w:hAnsi="Times New Roman"/>
                <w:b/>
                <w:sz w:val="24"/>
                <w:lang w:val="lv-LV"/>
              </w:rPr>
              <w:t>.</w:t>
            </w:r>
          </w:p>
          <w:p w14:paraId="5536E768" w14:textId="77777777" w:rsidR="00562103" w:rsidRPr="00C664F4" w:rsidRDefault="00562103" w:rsidP="00C664F4">
            <w:pPr>
              <w:rPr>
                <w:rFonts w:ascii="Times New Roman" w:hAnsi="Times New Roman"/>
                <w:b/>
                <w:sz w:val="24"/>
                <w:lang w:val="lv-LV"/>
              </w:rPr>
            </w:pPr>
          </w:p>
        </w:tc>
      </w:tr>
    </w:tbl>
    <w:p w14:paraId="6A601B6A" w14:textId="77777777" w:rsidR="009261AE" w:rsidRPr="00BA2E58" w:rsidRDefault="009261AE">
      <w:pPr>
        <w:rPr>
          <w:lang w:val="lv-LV"/>
        </w:rPr>
      </w:pPr>
    </w:p>
    <w:sectPr w:rsidR="009261AE" w:rsidRPr="00BA2E58" w:rsidSect="000C7663">
      <w:pgSz w:w="15840" w:h="12240" w:orient="landscape"/>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328"/>
    <w:multiLevelType w:val="hybridMultilevel"/>
    <w:tmpl w:val="0FC6A0E8"/>
    <w:lvl w:ilvl="0" w:tplc="0409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F540718"/>
    <w:multiLevelType w:val="hybridMultilevel"/>
    <w:tmpl w:val="8C2850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176011"/>
    <w:multiLevelType w:val="hybridMultilevel"/>
    <w:tmpl w:val="6B982FC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2786F78"/>
    <w:multiLevelType w:val="hybridMultilevel"/>
    <w:tmpl w:val="2810726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91"/>
    <w:rsid w:val="00024491"/>
    <w:rsid w:val="000359B4"/>
    <w:rsid w:val="00062A1A"/>
    <w:rsid w:val="00087081"/>
    <w:rsid w:val="000C7663"/>
    <w:rsid w:val="001667E6"/>
    <w:rsid w:val="001B02B6"/>
    <w:rsid w:val="002212C5"/>
    <w:rsid w:val="002362BC"/>
    <w:rsid w:val="002C3F8B"/>
    <w:rsid w:val="00330646"/>
    <w:rsid w:val="00331516"/>
    <w:rsid w:val="00367A6F"/>
    <w:rsid w:val="003B36B2"/>
    <w:rsid w:val="003E18B5"/>
    <w:rsid w:val="00405EBD"/>
    <w:rsid w:val="004A20CC"/>
    <w:rsid w:val="0050572C"/>
    <w:rsid w:val="00524AB5"/>
    <w:rsid w:val="00533A96"/>
    <w:rsid w:val="00562103"/>
    <w:rsid w:val="00583905"/>
    <w:rsid w:val="0062256C"/>
    <w:rsid w:val="00635EFF"/>
    <w:rsid w:val="00645492"/>
    <w:rsid w:val="006868B7"/>
    <w:rsid w:val="006B1804"/>
    <w:rsid w:val="007006E7"/>
    <w:rsid w:val="00736F38"/>
    <w:rsid w:val="00790A8E"/>
    <w:rsid w:val="00827EB3"/>
    <w:rsid w:val="008652FE"/>
    <w:rsid w:val="008B1D8E"/>
    <w:rsid w:val="008F37D7"/>
    <w:rsid w:val="009261AE"/>
    <w:rsid w:val="00932638"/>
    <w:rsid w:val="00995BFD"/>
    <w:rsid w:val="00A57B55"/>
    <w:rsid w:val="00AA597F"/>
    <w:rsid w:val="00B47464"/>
    <w:rsid w:val="00BA2E58"/>
    <w:rsid w:val="00BD1C34"/>
    <w:rsid w:val="00C24A25"/>
    <w:rsid w:val="00C664F4"/>
    <w:rsid w:val="00C96CCE"/>
    <w:rsid w:val="00CB3421"/>
    <w:rsid w:val="00D17D88"/>
    <w:rsid w:val="00DC6A20"/>
    <w:rsid w:val="00E03D32"/>
    <w:rsid w:val="00E14819"/>
    <w:rsid w:val="00E311AA"/>
    <w:rsid w:val="00E439E9"/>
    <w:rsid w:val="00E50EFE"/>
    <w:rsid w:val="00FE26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C490"/>
  <w15:docId w15:val="{13BE29BC-0D3A-423D-A773-B960E867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49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491"/>
    <w:pPr>
      <w:ind w:left="720"/>
    </w:pPr>
  </w:style>
  <w:style w:type="paragraph" w:styleId="BalloonText">
    <w:name w:val="Balloon Text"/>
    <w:basedOn w:val="Normal"/>
    <w:link w:val="BalloonTextChar"/>
    <w:uiPriority w:val="99"/>
    <w:semiHidden/>
    <w:unhideWhenUsed/>
    <w:rsid w:val="003E18B5"/>
    <w:rPr>
      <w:rFonts w:ascii="Tahoma" w:hAnsi="Tahoma" w:cs="Tahoma"/>
      <w:sz w:val="16"/>
      <w:szCs w:val="16"/>
    </w:rPr>
  </w:style>
  <w:style w:type="character" w:customStyle="1" w:styleId="BalloonTextChar">
    <w:name w:val="Balloon Text Char"/>
    <w:basedOn w:val="DefaultParagraphFont"/>
    <w:link w:val="BalloonText"/>
    <w:uiPriority w:val="99"/>
    <w:semiHidden/>
    <w:rsid w:val="003E18B5"/>
    <w:rPr>
      <w:rFonts w:ascii="Tahoma" w:hAnsi="Tahoma" w:cs="Tahoma"/>
      <w:sz w:val="16"/>
      <w:szCs w:val="16"/>
    </w:rPr>
  </w:style>
  <w:style w:type="character" w:styleId="CommentReference">
    <w:name w:val="annotation reference"/>
    <w:basedOn w:val="DefaultParagraphFont"/>
    <w:uiPriority w:val="99"/>
    <w:semiHidden/>
    <w:unhideWhenUsed/>
    <w:rsid w:val="00524AB5"/>
    <w:rPr>
      <w:sz w:val="16"/>
      <w:szCs w:val="16"/>
    </w:rPr>
  </w:style>
  <w:style w:type="paragraph" w:styleId="CommentText">
    <w:name w:val="annotation text"/>
    <w:basedOn w:val="Normal"/>
    <w:link w:val="CommentTextChar"/>
    <w:uiPriority w:val="99"/>
    <w:semiHidden/>
    <w:unhideWhenUsed/>
    <w:rsid w:val="00524AB5"/>
    <w:rPr>
      <w:sz w:val="20"/>
      <w:szCs w:val="20"/>
    </w:rPr>
  </w:style>
  <w:style w:type="character" w:customStyle="1" w:styleId="CommentTextChar">
    <w:name w:val="Comment Text Char"/>
    <w:basedOn w:val="DefaultParagraphFont"/>
    <w:link w:val="CommentText"/>
    <w:uiPriority w:val="99"/>
    <w:semiHidden/>
    <w:rsid w:val="00524AB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4AB5"/>
    <w:rPr>
      <w:b/>
      <w:bCs/>
    </w:rPr>
  </w:style>
  <w:style w:type="character" w:customStyle="1" w:styleId="CommentSubjectChar">
    <w:name w:val="Comment Subject Char"/>
    <w:basedOn w:val="CommentTextChar"/>
    <w:link w:val="CommentSubject"/>
    <w:uiPriority w:val="99"/>
    <w:semiHidden/>
    <w:rsid w:val="00524AB5"/>
    <w:rPr>
      <w:rFonts w:ascii="Calibri" w:hAnsi="Calibri" w:cs="Times New Roman"/>
      <w:b/>
      <w:bCs/>
      <w:sz w:val="20"/>
      <w:szCs w:val="20"/>
    </w:rPr>
  </w:style>
  <w:style w:type="character" w:styleId="Hyperlink">
    <w:name w:val="Hyperlink"/>
    <w:basedOn w:val="DefaultParagraphFont"/>
    <w:uiPriority w:val="99"/>
    <w:unhideWhenUsed/>
    <w:rsid w:val="002C3F8B"/>
    <w:rPr>
      <w:color w:val="0000FF" w:themeColor="hyperlink"/>
      <w:u w:val="single"/>
    </w:rPr>
  </w:style>
  <w:style w:type="character" w:styleId="UnresolvedMention">
    <w:name w:val="Unresolved Mention"/>
    <w:basedOn w:val="DefaultParagraphFont"/>
    <w:uiPriority w:val="99"/>
    <w:semiHidden/>
    <w:unhideWhenUsed/>
    <w:rsid w:val="002C3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16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81B9B-DD43-45DC-9D9D-E547037F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1962</Words>
  <Characters>1119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varam</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RaivisBremsmits</dc:creator>
  <cp:lastModifiedBy>Sandra Avdijanova</cp:lastModifiedBy>
  <cp:revision>3</cp:revision>
  <dcterms:created xsi:type="dcterms:W3CDTF">2021-07-06T12:27:00Z</dcterms:created>
  <dcterms:modified xsi:type="dcterms:W3CDTF">2021-07-06T12:46:00Z</dcterms:modified>
</cp:coreProperties>
</file>