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2419" w14:textId="1978FF08" w:rsidR="008E0F8A" w:rsidRDefault="008E0F8A" w:rsidP="008E0F8A">
      <w:pPr>
        <w:spacing w:after="0" w:line="276" w:lineRule="auto"/>
        <w:jc w:val="right"/>
        <w:rPr>
          <w:rFonts w:ascii="Times New Roman" w:hAnsi="Times New Roman"/>
          <w:b/>
          <w:sz w:val="26"/>
          <w:szCs w:val="26"/>
        </w:rPr>
      </w:pPr>
      <w:r w:rsidRPr="006E52AD">
        <w:rPr>
          <w:rFonts w:ascii="Times New Roman" w:hAnsi="Times New Roman"/>
          <w:bCs/>
          <w:i/>
          <w:iCs/>
          <w:sz w:val="26"/>
          <w:szCs w:val="26"/>
        </w:rPr>
        <w:t>Sagatavots 27.01.2022</w:t>
      </w:r>
      <w:r w:rsidRPr="006E52AD">
        <w:rPr>
          <w:rFonts w:ascii="Times New Roman" w:hAnsi="Times New Roman"/>
          <w:bCs/>
          <w:sz w:val="26"/>
          <w:szCs w:val="26"/>
        </w:rPr>
        <w:t>.</w:t>
      </w:r>
    </w:p>
    <w:p w14:paraId="170D6991" w14:textId="77777777" w:rsidR="008E0F8A" w:rsidRDefault="008E0F8A" w:rsidP="008E0F8A">
      <w:pPr>
        <w:spacing w:after="0" w:line="276" w:lineRule="auto"/>
        <w:jc w:val="center"/>
        <w:rPr>
          <w:rFonts w:ascii="Times New Roman" w:hAnsi="Times New Roman"/>
          <w:b/>
          <w:sz w:val="26"/>
          <w:szCs w:val="26"/>
        </w:rPr>
      </w:pPr>
    </w:p>
    <w:p w14:paraId="15346356" w14:textId="51DC9A04" w:rsidR="008E0F8A" w:rsidRPr="008E0F8A" w:rsidRDefault="008E0F8A" w:rsidP="008E0F8A">
      <w:pPr>
        <w:spacing w:after="0" w:line="276" w:lineRule="auto"/>
        <w:jc w:val="center"/>
        <w:rPr>
          <w:rFonts w:ascii="Times New Roman" w:hAnsi="Times New Roman"/>
          <w:b/>
          <w:sz w:val="26"/>
          <w:szCs w:val="26"/>
        </w:rPr>
      </w:pPr>
      <w:r w:rsidRPr="008E0F8A">
        <w:rPr>
          <w:rFonts w:ascii="Times New Roman" w:hAnsi="Times New Roman"/>
          <w:b/>
          <w:sz w:val="26"/>
          <w:szCs w:val="26"/>
        </w:rPr>
        <w:t xml:space="preserve">Atbildes uz saņemtajiem jautājumiem par </w:t>
      </w:r>
    </w:p>
    <w:p w14:paraId="673EE7EB" w14:textId="15D3A493" w:rsidR="007260DD" w:rsidRDefault="008E0F8A" w:rsidP="00545511">
      <w:pPr>
        <w:spacing w:after="240" w:line="276" w:lineRule="auto"/>
        <w:jc w:val="center"/>
        <w:rPr>
          <w:rFonts w:ascii="Times New Roman" w:hAnsi="Times New Roman" w:cs="Times New Roman"/>
          <w:sz w:val="24"/>
          <w:szCs w:val="24"/>
        </w:rPr>
      </w:pPr>
      <w:r w:rsidRPr="008E0F8A">
        <w:rPr>
          <w:rFonts w:ascii="Times New Roman" w:hAnsi="Times New Roman"/>
          <w:b/>
          <w:sz w:val="26"/>
          <w:szCs w:val="26"/>
        </w:rPr>
        <w:t>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projektu iesniegumu sagatavošanu</w:t>
      </w:r>
    </w:p>
    <w:tbl>
      <w:tblPr>
        <w:tblStyle w:val="TableGrid"/>
        <w:tblW w:w="14312" w:type="dxa"/>
        <w:tblInd w:w="0" w:type="dxa"/>
        <w:tblLook w:val="04A0" w:firstRow="1" w:lastRow="0" w:firstColumn="1" w:lastColumn="0" w:noHBand="0" w:noVBand="1"/>
      </w:tblPr>
      <w:tblGrid>
        <w:gridCol w:w="14312"/>
      </w:tblGrid>
      <w:tr w:rsidR="007260DD" w14:paraId="4263F4DF" w14:textId="77777777" w:rsidTr="00AE1F40">
        <w:tc>
          <w:tcPr>
            <w:tcW w:w="14312" w:type="dxa"/>
            <w:shd w:val="clear" w:color="auto" w:fill="auto"/>
          </w:tcPr>
          <w:p w14:paraId="7353FE3B" w14:textId="77777777" w:rsidR="007260DD" w:rsidRPr="00F571BE" w:rsidRDefault="007260DD" w:rsidP="00AA55BC">
            <w:pPr>
              <w:jc w:val="both"/>
              <w:rPr>
                <w:rFonts w:ascii="Times New Roman" w:hAnsi="Times New Roman" w:cs="Times New Roman"/>
                <w:sz w:val="24"/>
                <w:szCs w:val="24"/>
              </w:rPr>
            </w:pPr>
            <w:r w:rsidRPr="00F571BE">
              <w:rPr>
                <w:rFonts w:ascii="Times New Roman" w:hAnsi="Times New Roman" w:cs="Times New Roman"/>
                <w:sz w:val="24"/>
                <w:szCs w:val="24"/>
              </w:rPr>
              <w:t>Saīsinājumi un apzīmējumi:</w:t>
            </w:r>
          </w:p>
          <w:p w14:paraId="5660A8A5" w14:textId="77777777" w:rsidR="003E64EB" w:rsidRPr="008E0F8A" w:rsidRDefault="003E64EB" w:rsidP="003E64EB">
            <w:pPr>
              <w:spacing w:after="120"/>
              <w:jc w:val="both"/>
              <w:rPr>
                <w:rFonts w:ascii="Times New Roman" w:hAnsi="Times New Roman" w:cs="Times New Roman"/>
                <w:sz w:val="24"/>
                <w:szCs w:val="24"/>
                <w:shd w:val="clear" w:color="auto" w:fill="FFFFFF"/>
              </w:rPr>
            </w:pPr>
            <w:r w:rsidRPr="00787C06">
              <w:rPr>
                <w:rFonts w:ascii="Times New Roman" w:hAnsi="Times New Roman" w:cs="Times New Roman"/>
                <w:b/>
                <w:bCs/>
                <w:sz w:val="24"/>
                <w:szCs w:val="24"/>
                <w:shd w:val="clear" w:color="auto" w:fill="FFFFFF"/>
              </w:rPr>
              <w:t>MK noteikumi Nr.645</w:t>
            </w:r>
            <w:r w:rsidRPr="008E0F8A">
              <w:rPr>
                <w:rFonts w:ascii="Times New Roman" w:hAnsi="Times New Roman" w:cs="Times New Roman"/>
                <w:sz w:val="24"/>
                <w:szCs w:val="24"/>
                <w:shd w:val="clear" w:color="auto" w:fill="FFFFFF"/>
              </w:rPr>
              <w:t xml:space="preserve"> – </w:t>
            </w:r>
            <w:bookmarkStart w:id="0" w:name="_Hlk94605446"/>
            <w:r w:rsidRPr="008E0F8A">
              <w:rPr>
                <w:rFonts w:ascii="Times New Roman" w:hAnsi="Times New Roman" w:cs="Times New Roman"/>
                <w:sz w:val="24"/>
                <w:szCs w:val="24"/>
                <w:shd w:val="clear" w:color="auto" w:fill="FFFFFF"/>
              </w:rPr>
              <w:t xml:space="preserve">Ministru kabineta 2015. gada 10. novembra noteikumi Nr.645 </w:t>
            </w:r>
            <w:r>
              <w:rPr>
                <w:rFonts w:ascii="Times New Roman" w:hAnsi="Times New Roman" w:cs="Times New Roman"/>
                <w:sz w:val="24"/>
                <w:szCs w:val="24"/>
                <w:shd w:val="clear" w:color="auto" w:fill="FFFFFF"/>
              </w:rPr>
              <w:t>“Da</w:t>
            </w:r>
            <w:r w:rsidRPr="00FE179B">
              <w:rPr>
                <w:rFonts w:ascii="Times New Roman" w:hAnsi="Times New Roman" w:cs="Times New Roman"/>
                <w:sz w:val="24"/>
                <w:szCs w:val="24"/>
                <w:shd w:val="clear" w:color="auto" w:fill="FFFFFF"/>
              </w:rPr>
              <w:t xml:space="preserve">rbības programmas </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Izaugsme un nodarbinātīb</w:t>
            </w:r>
            <w:r>
              <w:rPr>
                <w:rFonts w:ascii="Times New Roman" w:hAnsi="Times New Roman" w:cs="Times New Roman"/>
                <w:sz w:val="24"/>
                <w:szCs w:val="24"/>
                <w:shd w:val="clear" w:color="auto" w:fill="FFFFFF"/>
              </w:rPr>
              <w:t>a”</w:t>
            </w:r>
            <w:r w:rsidRPr="00FE179B">
              <w:rPr>
                <w:rFonts w:ascii="Times New Roman" w:hAnsi="Times New Roman" w:cs="Times New Roman"/>
                <w:sz w:val="24"/>
                <w:szCs w:val="24"/>
                <w:shd w:val="clear" w:color="auto" w:fill="FFFFFF"/>
              </w:rPr>
              <w:t xml:space="preserve"> 5.6.2. specifiskā atbalsta mērķa </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Teritoriju revitalizācija, reģenerējot degradētās teritorijas atbilstoši pašvaldību integrētajām attīstības programmām</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 xml:space="preserve"> un 13.1.3. specifiskā atbalsta mērķa </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Atveseļošanas pasākumi vides un reģionālās attīstības jomā</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 xml:space="preserve"> 13.1.3.3. pasākuma </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Teritoriju revitalizācija uzņēmējdarbības veicināšanai pašvaldībās</w:t>
            </w:r>
            <w:r>
              <w:rPr>
                <w:rFonts w:ascii="Times New Roman" w:hAnsi="Times New Roman" w:cs="Times New Roman"/>
                <w:sz w:val="24"/>
                <w:szCs w:val="24"/>
                <w:shd w:val="clear" w:color="auto" w:fill="FFFFFF"/>
              </w:rPr>
              <w:t>”</w:t>
            </w:r>
            <w:r w:rsidRPr="00FE179B">
              <w:rPr>
                <w:rFonts w:ascii="Times New Roman" w:hAnsi="Times New Roman" w:cs="Times New Roman"/>
                <w:sz w:val="24"/>
                <w:szCs w:val="24"/>
                <w:shd w:val="clear" w:color="auto" w:fill="FFFFFF"/>
              </w:rPr>
              <w:t xml:space="preserve"> īstenošanas noteikumi</w:t>
            </w:r>
            <w:bookmarkEnd w:id="0"/>
            <w:r w:rsidRPr="008E0F8A">
              <w:rPr>
                <w:rFonts w:ascii="Times New Roman" w:hAnsi="Times New Roman" w:cs="Times New Roman"/>
                <w:sz w:val="24"/>
                <w:szCs w:val="24"/>
                <w:shd w:val="clear" w:color="auto" w:fill="FFFFFF"/>
              </w:rPr>
              <w:t>;</w:t>
            </w:r>
          </w:p>
          <w:p w14:paraId="3FB09C65" w14:textId="298ACCC6" w:rsidR="007260DD" w:rsidRPr="00F571BE" w:rsidRDefault="007260DD" w:rsidP="00AA55BC">
            <w:pPr>
              <w:spacing w:after="120"/>
              <w:jc w:val="both"/>
              <w:rPr>
                <w:rFonts w:ascii="Times New Roman" w:hAnsi="Times New Roman" w:cs="Times New Roman"/>
                <w:bCs/>
                <w:sz w:val="24"/>
                <w:szCs w:val="24"/>
                <w:shd w:val="clear" w:color="auto" w:fill="FFFFFF"/>
              </w:rPr>
            </w:pPr>
            <w:r w:rsidRPr="00F571BE">
              <w:rPr>
                <w:rFonts w:ascii="Times New Roman" w:hAnsi="Times New Roman" w:cs="Times New Roman"/>
                <w:b/>
                <w:bCs/>
                <w:sz w:val="24"/>
                <w:szCs w:val="24"/>
              </w:rPr>
              <w:t>Atlases nolikums</w:t>
            </w:r>
            <w:r w:rsidRPr="00F571BE">
              <w:rPr>
                <w:rFonts w:ascii="Times New Roman" w:hAnsi="Times New Roman" w:cs="Times New Roman"/>
                <w:sz w:val="24"/>
                <w:szCs w:val="24"/>
              </w:rPr>
              <w:t xml:space="preserve"> – </w:t>
            </w:r>
            <w:r w:rsidR="00DC6BA1" w:rsidRPr="00DC6BA1">
              <w:rPr>
                <w:rFonts w:ascii="Times New Roman" w:hAnsi="Times New Roman" w:cs="Times New Roman"/>
                <w:bCs/>
                <w:sz w:val="24"/>
                <w:szCs w:val="24"/>
                <w:shd w:val="clear" w:color="auto" w:fill="FFFFFF"/>
              </w:rPr>
              <w:t>Darbības programmas “Izaugsme un nodarbinātība” 13.1.3. specifiskā atbalsta mērķa “Atveseļošanas pasākumi vides un reģionālās attīstības jomā” 13.1.3.3. pasākuma “Teritoriju revitalizācija uzņēmējdarbības veicināšanai pašvaldībās”</w:t>
            </w:r>
            <w:r w:rsidR="00DC6BA1">
              <w:rPr>
                <w:rFonts w:ascii="Times New Roman" w:hAnsi="Times New Roman" w:cs="Times New Roman"/>
                <w:bCs/>
                <w:sz w:val="24"/>
                <w:szCs w:val="24"/>
                <w:shd w:val="clear" w:color="auto" w:fill="FFFFFF"/>
              </w:rPr>
              <w:t xml:space="preserve"> atlases nolikums</w:t>
            </w:r>
            <w:r w:rsidRPr="00F571BE">
              <w:rPr>
                <w:rFonts w:ascii="Times New Roman" w:hAnsi="Times New Roman" w:cs="Times New Roman"/>
                <w:bCs/>
                <w:sz w:val="24"/>
                <w:szCs w:val="24"/>
                <w:shd w:val="clear" w:color="auto" w:fill="FFFFFF"/>
              </w:rPr>
              <w:t>;</w:t>
            </w:r>
          </w:p>
          <w:p w14:paraId="5C0438F6" w14:textId="77777777" w:rsidR="003E64EB" w:rsidRPr="008E0F8A" w:rsidRDefault="003E64EB" w:rsidP="003E64EB">
            <w:pPr>
              <w:spacing w:after="120"/>
              <w:jc w:val="both"/>
              <w:rPr>
                <w:rFonts w:ascii="Times New Roman" w:hAnsi="Times New Roman" w:cs="Times New Roman"/>
                <w:sz w:val="24"/>
                <w:szCs w:val="24"/>
                <w:shd w:val="clear" w:color="auto" w:fill="FFFFFF"/>
              </w:rPr>
            </w:pPr>
            <w:r w:rsidRPr="00787C06">
              <w:rPr>
                <w:rFonts w:ascii="Times New Roman" w:hAnsi="Times New Roman" w:cs="Times New Roman"/>
                <w:b/>
                <w:bCs/>
                <w:sz w:val="24"/>
                <w:szCs w:val="24"/>
                <w:shd w:val="clear" w:color="auto" w:fill="FFFFFF"/>
              </w:rPr>
              <w:t>SAMP 13.1.3.3</w:t>
            </w:r>
            <w:r w:rsidRPr="008E0F8A">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 xml:space="preserve"> </w:t>
            </w:r>
            <w:r w:rsidRPr="008E0F8A">
              <w:rPr>
                <w:rFonts w:ascii="Times New Roman" w:hAnsi="Times New Roman" w:cs="Times New Roman"/>
                <w:sz w:val="24"/>
                <w:szCs w:val="24"/>
                <w:shd w:val="clear" w:color="auto" w:fill="FFFFFF"/>
              </w:rPr>
              <w:t>13.1.3.3. pasākums “Teritoriju revitalizācija uzņēmējdarbības veicināšanai pašvaldībās”</w:t>
            </w:r>
            <w:r>
              <w:rPr>
                <w:rFonts w:ascii="Times New Roman" w:hAnsi="Times New Roman" w:cs="Times New Roman"/>
                <w:sz w:val="24"/>
                <w:szCs w:val="24"/>
                <w:shd w:val="clear" w:color="auto" w:fill="FFFFFF"/>
              </w:rPr>
              <w:t>;</w:t>
            </w:r>
          </w:p>
          <w:p w14:paraId="5509583A" w14:textId="77777777" w:rsidR="00DC6BA1" w:rsidRPr="008E0F8A" w:rsidRDefault="00DC6BA1" w:rsidP="00DC6BA1">
            <w:pPr>
              <w:spacing w:after="120"/>
              <w:jc w:val="both"/>
              <w:rPr>
                <w:rFonts w:ascii="Times New Roman" w:hAnsi="Times New Roman" w:cs="Times New Roman"/>
                <w:sz w:val="24"/>
                <w:szCs w:val="24"/>
                <w:shd w:val="clear" w:color="auto" w:fill="FFFFFF"/>
              </w:rPr>
            </w:pPr>
            <w:r w:rsidRPr="00787C06">
              <w:rPr>
                <w:rFonts w:ascii="Times New Roman" w:hAnsi="Times New Roman" w:cs="Times New Roman"/>
                <w:b/>
                <w:bCs/>
                <w:sz w:val="24"/>
                <w:szCs w:val="24"/>
                <w:shd w:val="clear" w:color="auto" w:fill="FFFFFF"/>
              </w:rPr>
              <w:t>CFLA</w:t>
            </w:r>
            <w:r>
              <w:rPr>
                <w:rFonts w:ascii="Times New Roman" w:hAnsi="Times New Roman" w:cs="Times New Roman"/>
                <w:sz w:val="24"/>
                <w:szCs w:val="24"/>
                <w:shd w:val="clear" w:color="auto" w:fill="FFFFFF"/>
              </w:rPr>
              <w:t xml:space="preserve"> </w:t>
            </w:r>
            <w:r w:rsidRPr="008E0F8A">
              <w:rPr>
                <w:rFonts w:ascii="Times New Roman" w:hAnsi="Times New Roman" w:cs="Times New Roman"/>
                <w:sz w:val="24"/>
                <w:szCs w:val="24"/>
                <w:shd w:val="clear" w:color="auto" w:fill="FFFFFF"/>
              </w:rPr>
              <w:t>– Centrālā finanšu un līgumu aģentūra;</w:t>
            </w:r>
          </w:p>
          <w:p w14:paraId="4BCB83A5" w14:textId="77777777" w:rsidR="003E64EB" w:rsidRPr="008E0F8A" w:rsidRDefault="003E64EB" w:rsidP="003E64EB">
            <w:pPr>
              <w:spacing w:after="120"/>
              <w:jc w:val="both"/>
              <w:rPr>
                <w:rFonts w:ascii="Times New Roman" w:hAnsi="Times New Roman" w:cs="Times New Roman"/>
                <w:sz w:val="24"/>
                <w:szCs w:val="24"/>
                <w:shd w:val="clear" w:color="auto" w:fill="FFFFFF"/>
              </w:rPr>
            </w:pPr>
            <w:r w:rsidRPr="00787C06">
              <w:rPr>
                <w:rFonts w:ascii="Times New Roman" w:hAnsi="Times New Roman" w:cs="Times New Roman"/>
                <w:b/>
                <w:bCs/>
                <w:sz w:val="24"/>
                <w:szCs w:val="24"/>
                <w:shd w:val="clear" w:color="auto" w:fill="FFFFFF"/>
              </w:rPr>
              <w:t>VARAM</w:t>
            </w:r>
            <w:r>
              <w:rPr>
                <w:rFonts w:ascii="Times New Roman" w:hAnsi="Times New Roman" w:cs="Times New Roman"/>
                <w:sz w:val="24"/>
                <w:szCs w:val="24"/>
                <w:shd w:val="clear" w:color="auto" w:fill="FFFFFF"/>
              </w:rPr>
              <w:t xml:space="preserve"> </w:t>
            </w:r>
            <w:r w:rsidRPr="008E0F8A">
              <w:rPr>
                <w:rFonts w:ascii="Times New Roman" w:hAnsi="Times New Roman" w:cs="Times New Roman"/>
                <w:sz w:val="24"/>
                <w:szCs w:val="24"/>
                <w:shd w:val="clear" w:color="auto" w:fill="FFFFFF"/>
              </w:rPr>
              <w:t>– Vides aizsardzības un reģionālās attīstības ministrija.</w:t>
            </w:r>
          </w:p>
          <w:p w14:paraId="756CAE12" w14:textId="77777777" w:rsidR="007260DD" w:rsidRPr="00F571BE" w:rsidRDefault="007260DD" w:rsidP="00AA55BC">
            <w:pPr>
              <w:spacing w:after="120"/>
              <w:jc w:val="both"/>
              <w:rPr>
                <w:rFonts w:ascii="Times New Roman" w:hAnsi="Times New Roman" w:cs="Times New Roman"/>
                <w:sz w:val="24"/>
                <w:szCs w:val="24"/>
              </w:rPr>
            </w:pPr>
            <w:r w:rsidRPr="00F571BE">
              <w:rPr>
                <w:rFonts w:ascii="Times New Roman" w:hAnsi="Times New Roman" w:cs="Times New Roman"/>
                <w:b/>
                <w:bCs/>
                <w:sz w:val="24"/>
                <w:szCs w:val="24"/>
              </w:rPr>
              <w:t>ERAF</w:t>
            </w:r>
            <w:r w:rsidRPr="00F571BE">
              <w:rPr>
                <w:rFonts w:ascii="Times New Roman" w:hAnsi="Times New Roman" w:cs="Times New Roman"/>
                <w:sz w:val="24"/>
                <w:szCs w:val="24"/>
              </w:rPr>
              <w:t> – Eiropas Reģionālās attīstības fonds;</w:t>
            </w:r>
          </w:p>
          <w:p w14:paraId="6F0588F4" w14:textId="5912489C" w:rsidR="008E0F8A" w:rsidRPr="00F00920" w:rsidRDefault="00DC6BA1" w:rsidP="003E64EB">
            <w:pPr>
              <w:spacing w:after="120"/>
              <w:jc w:val="both"/>
              <w:rPr>
                <w:rFonts w:ascii="Times New Roman" w:hAnsi="Times New Roman" w:cs="Times New Roman"/>
                <w:sz w:val="24"/>
                <w:szCs w:val="24"/>
                <w:shd w:val="clear" w:color="auto" w:fill="FFFFFF"/>
              </w:rPr>
            </w:pPr>
            <w:r w:rsidRPr="00787C06">
              <w:rPr>
                <w:rFonts w:ascii="Times New Roman" w:hAnsi="Times New Roman" w:cs="Times New Roman"/>
                <w:b/>
                <w:bCs/>
                <w:sz w:val="24"/>
                <w:szCs w:val="24"/>
                <w:shd w:val="clear" w:color="auto" w:fill="FFFFFF"/>
              </w:rPr>
              <w:t>IIA</w:t>
            </w:r>
            <w:r w:rsidRPr="008E0F8A">
              <w:rPr>
                <w:rFonts w:ascii="Times New Roman" w:hAnsi="Times New Roman" w:cs="Times New Roman"/>
                <w:sz w:val="24"/>
                <w:szCs w:val="24"/>
                <w:shd w:val="clear" w:color="auto" w:fill="FFFFFF"/>
              </w:rPr>
              <w:t>– Izmaksu un ieguvumu analīze</w:t>
            </w:r>
          </w:p>
        </w:tc>
      </w:tr>
    </w:tbl>
    <w:p w14:paraId="0FB5EF26" w14:textId="77777777" w:rsidR="007260DD" w:rsidRDefault="007260DD" w:rsidP="00AA55BC"/>
    <w:tbl>
      <w:tblPr>
        <w:tblStyle w:val="TableGrid"/>
        <w:tblW w:w="0" w:type="auto"/>
        <w:tblInd w:w="0" w:type="dxa"/>
        <w:tblLook w:val="04A0" w:firstRow="1" w:lastRow="0" w:firstColumn="1" w:lastColumn="0" w:noHBand="0" w:noVBand="1"/>
      </w:tblPr>
      <w:tblGrid>
        <w:gridCol w:w="943"/>
        <w:gridCol w:w="6415"/>
        <w:gridCol w:w="6949"/>
      </w:tblGrid>
      <w:tr w:rsidR="003E64EB" w:rsidRPr="008F59B0" w14:paraId="7B5D68E3" w14:textId="77777777" w:rsidTr="003E64EB">
        <w:tc>
          <w:tcPr>
            <w:tcW w:w="562" w:type="dxa"/>
            <w:shd w:val="clear" w:color="auto" w:fill="A6A6A6" w:themeFill="background1" w:themeFillShade="A6"/>
          </w:tcPr>
          <w:p w14:paraId="57C205D3" w14:textId="29AC9EB7" w:rsidR="003E64EB" w:rsidRPr="003E64EB" w:rsidRDefault="003E64EB" w:rsidP="00AA55BC">
            <w:pPr>
              <w:rPr>
                <w:rFonts w:ascii="Times New Roman" w:hAnsi="Times New Roman" w:cs="Times New Roman"/>
                <w:b/>
                <w:bCs/>
                <w:sz w:val="24"/>
                <w:szCs w:val="24"/>
              </w:rPr>
            </w:pPr>
            <w:r w:rsidRPr="003E64EB">
              <w:rPr>
                <w:rFonts w:ascii="Times New Roman" w:hAnsi="Times New Roman" w:cs="Times New Roman"/>
                <w:b/>
                <w:bCs/>
                <w:sz w:val="24"/>
                <w:szCs w:val="24"/>
              </w:rPr>
              <w:t>N</w:t>
            </w:r>
            <w:r>
              <w:rPr>
                <w:rFonts w:ascii="Times New Roman" w:hAnsi="Times New Roman" w:cs="Times New Roman"/>
                <w:b/>
                <w:bCs/>
                <w:sz w:val="24"/>
                <w:szCs w:val="24"/>
              </w:rPr>
              <w:t>r</w:t>
            </w:r>
            <w:r w:rsidRPr="003E64EB">
              <w:rPr>
                <w:rFonts w:ascii="Times New Roman" w:hAnsi="Times New Roman" w:cs="Times New Roman"/>
                <w:b/>
                <w:bCs/>
                <w:sz w:val="24"/>
                <w:szCs w:val="24"/>
              </w:rPr>
              <w:t>.p.k.</w:t>
            </w:r>
          </w:p>
        </w:tc>
        <w:tc>
          <w:tcPr>
            <w:tcW w:w="6428" w:type="dxa"/>
            <w:shd w:val="clear" w:color="auto" w:fill="A6A6A6" w:themeFill="background1" w:themeFillShade="A6"/>
          </w:tcPr>
          <w:p w14:paraId="51A43A01" w14:textId="37DDEC61" w:rsidR="003E64EB" w:rsidRPr="003E64EB" w:rsidRDefault="003E64EB" w:rsidP="00AA55BC">
            <w:pPr>
              <w:rPr>
                <w:rFonts w:ascii="Times New Roman" w:hAnsi="Times New Roman" w:cs="Times New Roman"/>
                <w:b/>
                <w:bCs/>
                <w:sz w:val="24"/>
                <w:szCs w:val="24"/>
              </w:rPr>
            </w:pPr>
            <w:r w:rsidRPr="003E64EB">
              <w:rPr>
                <w:rFonts w:ascii="Times New Roman" w:hAnsi="Times New Roman" w:cs="Times New Roman"/>
                <w:b/>
                <w:bCs/>
                <w:sz w:val="24"/>
                <w:szCs w:val="24"/>
              </w:rPr>
              <w:t>Jautājums</w:t>
            </w:r>
          </w:p>
        </w:tc>
        <w:tc>
          <w:tcPr>
            <w:tcW w:w="6958" w:type="dxa"/>
            <w:shd w:val="clear" w:color="auto" w:fill="A6A6A6" w:themeFill="background1" w:themeFillShade="A6"/>
          </w:tcPr>
          <w:p w14:paraId="245210DB" w14:textId="77777777" w:rsidR="003E64EB" w:rsidRPr="003E64EB" w:rsidRDefault="003E64EB" w:rsidP="00AA55BC">
            <w:pPr>
              <w:rPr>
                <w:rFonts w:ascii="Times New Roman" w:hAnsi="Times New Roman" w:cs="Times New Roman"/>
                <w:b/>
                <w:bCs/>
                <w:sz w:val="24"/>
                <w:szCs w:val="24"/>
              </w:rPr>
            </w:pPr>
            <w:r w:rsidRPr="003E64EB">
              <w:rPr>
                <w:rFonts w:ascii="Times New Roman" w:hAnsi="Times New Roman" w:cs="Times New Roman"/>
                <w:b/>
                <w:bCs/>
                <w:sz w:val="24"/>
                <w:szCs w:val="24"/>
              </w:rPr>
              <w:t>Atbilde</w:t>
            </w:r>
          </w:p>
        </w:tc>
      </w:tr>
      <w:tr w:rsidR="003E64EB" w:rsidRPr="008F59B0" w14:paraId="7C2F2D4E" w14:textId="77777777" w:rsidTr="003E64EB">
        <w:tc>
          <w:tcPr>
            <w:tcW w:w="562" w:type="dxa"/>
            <w:shd w:val="clear" w:color="auto" w:fill="EDEDED" w:themeFill="accent3" w:themeFillTint="33"/>
          </w:tcPr>
          <w:p w14:paraId="776B526C" w14:textId="2DAEFD50" w:rsidR="003E64EB" w:rsidRPr="00DC6BA1" w:rsidRDefault="003E64EB" w:rsidP="00787C06">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28" w:type="dxa"/>
            <w:shd w:val="clear" w:color="auto" w:fill="EDEDED" w:themeFill="accent3" w:themeFillTint="33"/>
          </w:tcPr>
          <w:p w14:paraId="33310B0F" w14:textId="49665F85" w:rsidR="003E64EB" w:rsidRPr="004309EF" w:rsidRDefault="003E64EB" w:rsidP="00787C06">
            <w:pPr>
              <w:spacing w:line="240" w:lineRule="auto"/>
              <w:jc w:val="both"/>
              <w:rPr>
                <w:rFonts w:ascii="Times New Roman" w:hAnsi="Times New Roman" w:cs="Times New Roman"/>
                <w:sz w:val="24"/>
                <w:szCs w:val="24"/>
              </w:rPr>
            </w:pPr>
            <w:r w:rsidRPr="00DC6BA1">
              <w:rPr>
                <w:rFonts w:ascii="Times New Roman" w:hAnsi="Times New Roman" w:cs="Times New Roman"/>
                <w:sz w:val="24"/>
                <w:szCs w:val="24"/>
              </w:rPr>
              <w:t>Vai IIA jāpārtaisa, ja projekts jau iesniegts un vēstule par IIA precizēto veidlapu saņemta pēc projekta iesniegšanas?</w:t>
            </w:r>
          </w:p>
        </w:tc>
        <w:tc>
          <w:tcPr>
            <w:tcW w:w="6958" w:type="dxa"/>
            <w:shd w:val="clear" w:color="auto" w:fill="EDEDED" w:themeFill="accent3" w:themeFillTint="33"/>
          </w:tcPr>
          <w:p w14:paraId="470A9627" w14:textId="4FBAB298" w:rsidR="003E64EB" w:rsidRPr="004309EF" w:rsidRDefault="003E64EB" w:rsidP="00AA55BC">
            <w:pPr>
              <w:pStyle w:val="msonormal804d7de8fd46f06a46511c7c60d1535e"/>
              <w:jc w:val="both"/>
              <w:rPr>
                <w:sz w:val="24"/>
                <w:szCs w:val="24"/>
              </w:rPr>
            </w:pPr>
            <w:r>
              <w:rPr>
                <w:sz w:val="24"/>
                <w:szCs w:val="24"/>
              </w:rPr>
              <w:t xml:space="preserve"> Ar projekta iesniegumu j</w:t>
            </w:r>
            <w:r w:rsidRPr="009C130F">
              <w:rPr>
                <w:sz w:val="24"/>
                <w:szCs w:val="24"/>
              </w:rPr>
              <w:t xml:space="preserve">au iesniegtu </w:t>
            </w:r>
            <w:r>
              <w:rPr>
                <w:sz w:val="24"/>
                <w:szCs w:val="24"/>
              </w:rPr>
              <w:t>IIA modeli</w:t>
            </w:r>
            <w:r w:rsidRPr="009C130F">
              <w:rPr>
                <w:sz w:val="24"/>
                <w:szCs w:val="24"/>
              </w:rPr>
              <w:t xml:space="preserve"> šobrīd labot nav nepieciešams. Ja </w:t>
            </w:r>
            <w:r>
              <w:rPr>
                <w:sz w:val="24"/>
                <w:szCs w:val="24"/>
              </w:rPr>
              <w:t xml:space="preserve">vērtēšanas procesā </w:t>
            </w:r>
            <w:r w:rsidRPr="009C130F">
              <w:rPr>
                <w:sz w:val="24"/>
                <w:szCs w:val="24"/>
              </w:rPr>
              <w:t xml:space="preserve">netiks konstatētas būtiskas nepilnības, kļūdas, tad IIA varēs </w:t>
            </w:r>
            <w:r>
              <w:rPr>
                <w:sz w:val="24"/>
                <w:szCs w:val="24"/>
              </w:rPr>
              <w:t xml:space="preserve">palikt </w:t>
            </w:r>
            <w:r w:rsidRPr="009C130F">
              <w:rPr>
                <w:sz w:val="24"/>
                <w:szCs w:val="24"/>
              </w:rPr>
              <w:t>uz iesniegtās formas</w:t>
            </w:r>
            <w:r>
              <w:rPr>
                <w:sz w:val="24"/>
                <w:szCs w:val="24"/>
              </w:rPr>
              <w:t>.</w:t>
            </w:r>
          </w:p>
        </w:tc>
      </w:tr>
      <w:tr w:rsidR="003E64EB" w:rsidRPr="008F59B0" w14:paraId="728C2261" w14:textId="77777777" w:rsidTr="003E64EB">
        <w:tc>
          <w:tcPr>
            <w:tcW w:w="562" w:type="dxa"/>
          </w:tcPr>
          <w:p w14:paraId="731536BF" w14:textId="718C1C1A" w:rsidR="003E64EB" w:rsidRPr="009C130F" w:rsidRDefault="003E64EB" w:rsidP="00AA55B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428" w:type="dxa"/>
          </w:tcPr>
          <w:p w14:paraId="6ACE818D" w14:textId="6B45E2A8" w:rsidR="003E64EB" w:rsidRPr="00881025" w:rsidRDefault="003E64EB" w:rsidP="00AA55BC">
            <w:pPr>
              <w:spacing w:line="240" w:lineRule="auto"/>
              <w:jc w:val="both"/>
              <w:rPr>
                <w:rFonts w:ascii="Times New Roman" w:hAnsi="Times New Roman" w:cs="Times New Roman"/>
                <w:sz w:val="24"/>
                <w:szCs w:val="24"/>
                <w:highlight w:val="yellow"/>
              </w:rPr>
            </w:pPr>
            <w:r w:rsidRPr="009C130F">
              <w:rPr>
                <w:rFonts w:ascii="Times New Roman" w:hAnsi="Times New Roman" w:cs="Times New Roman"/>
                <w:sz w:val="24"/>
                <w:szCs w:val="24"/>
              </w:rPr>
              <w:t xml:space="preserve">Kā projekta vērtēšanas kritēriji ietekmē atbalsta saņemšanu, ja projekts ticis apstiprināts priekšatlasē? Kāda ietekme būs </w:t>
            </w:r>
            <w:r w:rsidRPr="009C130F">
              <w:rPr>
                <w:rFonts w:ascii="Times New Roman" w:hAnsi="Times New Roman" w:cs="Times New Roman"/>
                <w:sz w:val="24"/>
                <w:szCs w:val="24"/>
              </w:rPr>
              <w:lastRenderedPageBreak/>
              <w:t>jaunajiem vērtējumiem? Vai tas kādā mērā mainīs atbalsta iespējas?</w:t>
            </w:r>
          </w:p>
        </w:tc>
        <w:tc>
          <w:tcPr>
            <w:tcW w:w="6958" w:type="dxa"/>
          </w:tcPr>
          <w:p w14:paraId="16090186" w14:textId="3D7D79A0" w:rsidR="003E64EB" w:rsidRPr="00F21039" w:rsidRDefault="00086378" w:rsidP="00AA55BC">
            <w:pPr>
              <w:pStyle w:val="msonormal804d7de8fd46f06a46511c7c60d1535e"/>
              <w:jc w:val="both"/>
              <w:rPr>
                <w:sz w:val="24"/>
                <w:szCs w:val="24"/>
              </w:rPr>
            </w:pPr>
            <w:r w:rsidRPr="00F21039">
              <w:rPr>
                <w:sz w:val="24"/>
                <w:szCs w:val="24"/>
              </w:rPr>
              <w:lastRenderedPageBreak/>
              <w:t xml:space="preserve">Priekšatlasē ir citi kritēriji un nosacījumi, pēc kuriem projekti tiek iekļauti atlasāmo projektu sarakstā. Savukārt SAMP 13.1.3.3.  iesniegtajiem projektu iesniegumiem ir jāatbilst  MK noteikumu </w:t>
            </w:r>
            <w:r w:rsidRPr="00F21039">
              <w:rPr>
                <w:sz w:val="24"/>
                <w:szCs w:val="24"/>
              </w:rPr>
              <w:lastRenderedPageBreak/>
              <w:t xml:space="preserve">Nr.645 nosacījumiem, </w:t>
            </w:r>
            <w:r w:rsidR="003E64EB" w:rsidRPr="00F21039">
              <w:rPr>
                <w:sz w:val="24"/>
                <w:szCs w:val="24"/>
              </w:rPr>
              <w:t>visiem atlases nolikuma nosacījumiem, t.sk. projektu iesniegumu vērtēšanas kritērijiem.</w:t>
            </w:r>
          </w:p>
        </w:tc>
      </w:tr>
      <w:tr w:rsidR="003E64EB" w:rsidRPr="008F59B0" w14:paraId="12E6B295" w14:textId="77777777" w:rsidTr="003E64EB">
        <w:tc>
          <w:tcPr>
            <w:tcW w:w="562" w:type="dxa"/>
            <w:shd w:val="clear" w:color="auto" w:fill="F2F2F2" w:themeFill="background1" w:themeFillShade="F2"/>
          </w:tcPr>
          <w:p w14:paraId="7464A6FB" w14:textId="6AE9E206" w:rsidR="003E64EB" w:rsidRPr="00EA65CD" w:rsidRDefault="003E64EB" w:rsidP="00AA55B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6428" w:type="dxa"/>
            <w:shd w:val="clear" w:color="auto" w:fill="F2F2F2" w:themeFill="background1" w:themeFillShade="F2"/>
          </w:tcPr>
          <w:p w14:paraId="15ABF116" w14:textId="0FE23700" w:rsidR="003E64EB" w:rsidRPr="00EA65CD" w:rsidRDefault="003E64EB" w:rsidP="00AA55BC">
            <w:pPr>
              <w:spacing w:line="240" w:lineRule="auto"/>
              <w:jc w:val="both"/>
              <w:rPr>
                <w:rFonts w:ascii="Times New Roman" w:hAnsi="Times New Roman" w:cs="Times New Roman"/>
                <w:bCs/>
                <w:color w:val="000000"/>
                <w:sz w:val="24"/>
                <w:szCs w:val="24"/>
              </w:rPr>
            </w:pPr>
            <w:r w:rsidRPr="00EA65CD">
              <w:rPr>
                <w:rFonts w:ascii="Times New Roman" w:hAnsi="Times New Roman" w:cs="Times New Roman"/>
                <w:bCs/>
                <w:sz w:val="24"/>
                <w:szCs w:val="24"/>
              </w:rPr>
              <w:t>Nepieciešama informācija par sasniedzamo rezultātu sasniegšanu, ja ražošanas ēku plānots izbūvēt līdz 2023.gada 3.ceturksnim</w:t>
            </w:r>
          </w:p>
        </w:tc>
        <w:tc>
          <w:tcPr>
            <w:tcW w:w="6958" w:type="dxa"/>
            <w:shd w:val="clear" w:color="auto" w:fill="F2F2F2" w:themeFill="background1" w:themeFillShade="F2"/>
          </w:tcPr>
          <w:p w14:paraId="32478AD2" w14:textId="77777777" w:rsidR="005A41D9" w:rsidRPr="00F21039" w:rsidRDefault="00086378" w:rsidP="00AA55BC">
            <w:pPr>
              <w:spacing w:line="240" w:lineRule="auto"/>
              <w:jc w:val="both"/>
              <w:rPr>
                <w:rFonts w:ascii="Times New Roman" w:hAnsi="Times New Roman" w:cs="Times New Roman"/>
                <w:sz w:val="24"/>
                <w:szCs w:val="24"/>
              </w:rPr>
            </w:pPr>
            <w:r w:rsidRPr="00F21039">
              <w:rPr>
                <w:rFonts w:ascii="Times New Roman" w:hAnsi="Times New Roman" w:cs="Times New Roman"/>
                <w:sz w:val="24"/>
                <w:szCs w:val="24"/>
              </w:rPr>
              <w:t xml:space="preserve">Atbilstoši MK noteikumu Nr.645 </w:t>
            </w:r>
            <w:r w:rsidR="00FF2024" w:rsidRPr="00F21039">
              <w:rPr>
                <w:rFonts w:ascii="Times New Roman" w:hAnsi="Times New Roman" w:cs="Times New Roman"/>
                <w:sz w:val="24"/>
                <w:szCs w:val="24"/>
              </w:rPr>
              <w:t>25.punktam projektu īsteno līdz 2023.gada 31.decembrim. Vienlaikus projekta iznākuma rādītāji (atjaunoto degradēto teritoriju platība, jaunizveidoto darba vietu skaits atbalstītajās teritorijās, atbalstītajā teritorijā atrodošos komersantu nefinanšu investīcijas pašu nemateriālajos ieguldījumos un pamatlīdzekļos) arī ir sasniedzami līdz 2023.gada 31.decembrim (MK noteikumu Nr.645 9.1.punkts). Ja projekta darbība – ēkas būvniecība, plānota līdz 2023.gada 3.cetruksnim, vienlaikus ir jānodrošina arī iznākuma rādītāju sasniegšana, jo rādītāji: jaunizveidoto darba vietu skaits, komersantu nefinanšu investīcijas pašu nemateriālajos ieguldījumos un pamatlīdzekļos ir jārada kalendārā gada ietvaros, t.sk. rādītājiem ir jābūt radītiem projekta īstenošanas vietā.</w:t>
            </w:r>
            <w:r w:rsidR="005A41D9" w:rsidRPr="00F21039">
              <w:rPr>
                <w:rFonts w:ascii="Times New Roman" w:hAnsi="Times New Roman" w:cs="Times New Roman"/>
                <w:sz w:val="24"/>
                <w:szCs w:val="24"/>
              </w:rPr>
              <w:t xml:space="preserve"> </w:t>
            </w:r>
          </w:p>
          <w:p w14:paraId="0662D40F" w14:textId="06EBC63C" w:rsidR="00EC3C77" w:rsidRPr="00F21039" w:rsidRDefault="005A41D9" w:rsidP="00AA55BC">
            <w:pPr>
              <w:spacing w:line="240" w:lineRule="auto"/>
              <w:jc w:val="both"/>
              <w:rPr>
                <w:rFonts w:ascii="Times New Roman" w:hAnsi="Times New Roman" w:cs="Times New Roman"/>
                <w:sz w:val="24"/>
                <w:szCs w:val="24"/>
              </w:rPr>
            </w:pPr>
            <w:r w:rsidRPr="00F21039">
              <w:rPr>
                <w:rFonts w:ascii="Times New Roman" w:hAnsi="Times New Roman" w:cs="Times New Roman"/>
                <w:sz w:val="24"/>
                <w:szCs w:val="24"/>
              </w:rPr>
              <w:t>Vēršam uzmanību, ka rādītāju sasniegšanas termiņš – 2023.gada 31.decembris</w:t>
            </w:r>
            <w:r w:rsidR="003C4186" w:rsidRPr="00F21039">
              <w:rPr>
                <w:rFonts w:ascii="Times New Roman" w:hAnsi="Times New Roman" w:cs="Times New Roman"/>
                <w:sz w:val="24"/>
                <w:szCs w:val="24"/>
              </w:rPr>
              <w:t>,</w:t>
            </w:r>
            <w:r w:rsidRPr="00F21039">
              <w:rPr>
                <w:rFonts w:ascii="Times New Roman" w:hAnsi="Times New Roman" w:cs="Times New Roman"/>
                <w:sz w:val="24"/>
                <w:szCs w:val="24"/>
              </w:rPr>
              <w:t xml:space="preserve"> netiks pagarināts. Tādēļ aicinām nekavēties ar </w:t>
            </w:r>
            <w:r w:rsidR="00EC3C77" w:rsidRPr="00F21039">
              <w:rPr>
                <w:rFonts w:ascii="Times New Roman" w:hAnsi="Times New Roman" w:cs="Times New Roman"/>
                <w:sz w:val="24"/>
                <w:szCs w:val="24"/>
              </w:rPr>
              <w:t xml:space="preserve">publiskas nomas tiesību izsoli </w:t>
            </w:r>
            <w:r w:rsidRPr="00F21039">
              <w:rPr>
                <w:rFonts w:ascii="Times New Roman" w:hAnsi="Times New Roman" w:cs="Times New Roman"/>
                <w:sz w:val="24"/>
                <w:szCs w:val="24"/>
              </w:rPr>
              <w:t xml:space="preserve">un to veikt jau projekta īstenošanas laikā. Taču, lai ievērotu MK noteikumu Nr.645 33.punkta </w:t>
            </w:r>
            <w:r w:rsidR="003C4186" w:rsidRPr="00F21039">
              <w:rPr>
                <w:rFonts w:ascii="Times New Roman" w:hAnsi="Times New Roman" w:cs="Times New Roman"/>
                <w:sz w:val="24"/>
                <w:szCs w:val="24"/>
              </w:rPr>
              <w:t xml:space="preserve">nosacījumu,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r w:rsidR="00EC3C77" w:rsidRPr="00F21039">
              <w:rPr>
                <w:rFonts w:ascii="Times New Roman" w:hAnsi="Times New Roman" w:cs="Times New Roman"/>
                <w:sz w:val="24"/>
                <w:szCs w:val="24"/>
              </w:rPr>
              <w:t>izvēlētajam nomniekam nevar rasties tiesības ierosināt specifiskas izmaiņas būvniecības procesā, kas sniegtu tam priekšrocību. Līdz ar to publiskas nomas tiesību izsole veicama projekta īstenošanas laikā (pēc projekta iesnieguma iesniegšanas vērtēšanai), kad ir zināmas būvdarbu izmaksas (pēc iepirkuma par būvdarbu veikšanu un būvprojekta apstiprināšanas būvvaldē).</w:t>
            </w:r>
          </w:p>
          <w:p w14:paraId="004C8714" w14:textId="1F8243A3" w:rsidR="005A41D9" w:rsidRPr="00F21039" w:rsidRDefault="00EC3C77" w:rsidP="00EC3C77">
            <w:pPr>
              <w:spacing w:line="240" w:lineRule="auto"/>
              <w:jc w:val="both"/>
              <w:rPr>
                <w:rFonts w:ascii="Times New Roman" w:hAnsi="Times New Roman" w:cs="Times New Roman"/>
                <w:sz w:val="24"/>
                <w:szCs w:val="24"/>
              </w:rPr>
            </w:pPr>
            <w:r w:rsidRPr="00F21039">
              <w:rPr>
                <w:rFonts w:ascii="Times New Roman" w:hAnsi="Times New Roman" w:cs="Times New Roman"/>
                <w:sz w:val="24"/>
                <w:szCs w:val="24"/>
              </w:rPr>
              <w:t>Vienlaikus norādām, ka lai</w:t>
            </w:r>
            <w:r w:rsidR="003C4186" w:rsidRPr="00F21039">
              <w:rPr>
                <w:rFonts w:ascii="Times New Roman" w:hAnsi="Times New Roman" w:cs="Times New Roman"/>
                <w:sz w:val="24"/>
                <w:szCs w:val="24"/>
              </w:rPr>
              <w:t xml:space="preserve"> izpildītu MK noteikumu Nr.645 33.punktā noteikto nosacījumu, ir jāievēro Ministru kabineta </w:t>
            </w:r>
            <w:r w:rsidR="008217A0" w:rsidRPr="00F21039">
              <w:rPr>
                <w:rFonts w:ascii="Times New Roman" w:hAnsi="Times New Roman" w:cs="Times New Roman"/>
                <w:sz w:val="24"/>
                <w:szCs w:val="24"/>
              </w:rPr>
              <w:t xml:space="preserve">2018.gada 20.februāra noteikumu Nr.97 “Publiskas personas mantas iznomāšanas noteikumi” </w:t>
            </w:r>
            <w:r w:rsidR="003C4186" w:rsidRPr="00F21039">
              <w:rPr>
                <w:rFonts w:ascii="Times New Roman" w:hAnsi="Times New Roman" w:cs="Times New Roman"/>
                <w:sz w:val="24"/>
                <w:szCs w:val="24"/>
              </w:rPr>
              <w:t>2.nodaļā regulētā izsoles organizēšanas kārtība</w:t>
            </w:r>
            <w:r w:rsidR="008217A0" w:rsidRPr="00F21039">
              <w:rPr>
                <w:rFonts w:ascii="Times New Roman" w:hAnsi="Times New Roman" w:cs="Times New Roman"/>
                <w:sz w:val="24"/>
                <w:szCs w:val="24"/>
              </w:rPr>
              <w:t>.</w:t>
            </w:r>
          </w:p>
        </w:tc>
      </w:tr>
      <w:tr w:rsidR="003E64EB" w:rsidRPr="008F59B0" w14:paraId="6AD1019E" w14:textId="77777777" w:rsidTr="003E64EB">
        <w:tc>
          <w:tcPr>
            <w:tcW w:w="562" w:type="dxa"/>
          </w:tcPr>
          <w:p w14:paraId="09363FC0" w14:textId="359B5D0B" w:rsidR="003E64EB" w:rsidRPr="009C130F" w:rsidRDefault="003E64EB" w:rsidP="0015755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6428" w:type="dxa"/>
            <w:shd w:val="clear" w:color="auto" w:fill="auto"/>
          </w:tcPr>
          <w:p w14:paraId="48F83C86" w14:textId="5466DCED" w:rsidR="003E64EB" w:rsidRPr="009C130F" w:rsidRDefault="003E64EB" w:rsidP="00157556">
            <w:pPr>
              <w:spacing w:line="240" w:lineRule="auto"/>
              <w:jc w:val="both"/>
              <w:rPr>
                <w:rFonts w:ascii="Times New Roman" w:hAnsi="Times New Roman" w:cs="Times New Roman"/>
                <w:sz w:val="24"/>
                <w:szCs w:val="24"/>
              </w:rPr>
            </w:pPr>
            <w:r w:rsidRPr="009C130F">
              <w:rPr>
                <w:rFonts w:ascii="Times New Roman" w:hAnsi="Times New Roman" w:cs="Times New Roman"/>
                <w:sz w:val="24"/>
                <w:szCs w:val="24"/>
              </w:rPr>
              <w:t>Projekta iesniedzējs ir pašvaldība.</w:t>
            </w:r>
            <w:r>
              <w:rPr>
                <w:rFonts w:ascii="Times New Roman" w:hAnsi="Times New Roman" w:cs="Times New Roman"/>
                <w:sz w:val="24"/>
                <w:szCs w:val="24"/>
              </w:rPr>
              <w:t xml:space="preserve"> </w:t>
            </w:r>
            <w:r w:rsidRPr="009C130F">
              <w:rPr>
                <w:rFonts w:ascii="Times New Roman" w:hAnsi="Times New Roman" w:cs="Times New Roman"/>
                <w:sz w:val="24"/>
                <w:szCs w:val="24"/>
              </w:rPr>
              <w:t>Projektā ir 2 partneri -</w:t>
            </w:r>
            <w:r>
              <w:rPr>
                <w:rFonts w:ascii="Times New Roman" w:hAnsi="Times New Roman" w:cs="Times New Roman"/>
                <w:sz w:val="24"/>
                <w:szCs w:val="24"/>
              </w:rPr>
              <w:t>k</w:t>
            </w:r>
            <w:r w:rsidRPr="009C130F">
              <w:rPr>
                <w:rFonts w:ascii="Times New Roman" w:hAnsi="Times New Roman" w:cs="Times New Roman"/>
                <w:sz w:val="24"/>
                <w:szCs w:val="24"/>
              </w:rPr>
              <w:t>apitālsabiedrības (SIA), sabiedrisko pakalpojumu sniedzēji - 1) UKT un 2) siltumapgādes pakalpojumiem.</w:t>
            </w:r>
            <w:r>
              <w:rPr>
                <w:rFonts w:ascii="Times New Roman" w:hAnsi="Times New Roman" w:cs="Times New Roman"/>
                <w:sz w:val="24"/>
                <w:szCs w:val="24"/>
              </w:rPr>
              <w:t xml:space="preserve"> </w:t>
            </w:r>
            <w:r w:rsidRPr="009C130F">
              <w:rPr>
                <w:rFonts w:ascii="Times New Roman" w:hAnsi="Times New Roman" w:cs="Times New Roman"/>
                <w:sz w:val="24"/>
                <w:szCs w:val="24"/>
              </w:rPr>
              <w:t>Jautājum</w:t>
            </w:r>
            <w:r>
              <w:rPr>
                <w:rFonts w:ascii="Times New Roman" w:hAnsi="Times New Roman" w:cs="Times New Roman"/>
                <w:sz w:val="24"/>
                <w:szCs w:val="24"/>
              </w:rPr>
              <w:t>s, j</w:t>
            </w:r>
            <w:r w:rsidRPr="009C130F">
              <w:rPr>
                <w:rFonts w:ascii="Times New Roman" w:hAnsi="Times New Roman" w:cs="Times New Roman"/>
                <w:sz w:val="24"/>
                <w:szCs w:val="24"/>
              </w:rPr>
              <w:t>a SIA līdzfinansē inženiertīklu izbūvi ES projektā, tad kurā excel lpp. būtu jāliek šīs investīcijas un vai katrai SIA ir sava excel lapa (UKT viena lapa, siltumam cita);</w:t>
            </w:r>
          </w:p>
          <w:p w14:paraId="538B3415" w14:textId="0B16114A" w:rsidR="003E64EB" w:rsidRPr="004309EF" w:rsidRDefault="003E64EB" w:rsidP="00AA55BC">
            <w:pPr>
              <w:jc w:val="both"/>
              <w:rPr>
                <w:rFonts w:ascii="Times New Roman" w:hAnsi="Times New Roman" w:cs="Times New Roman"/>
                <w:sz w:val="24"/>
                <w:szCs w:val="24"/>
              </w:rPr>
            </w:pPr>
          </w:p>
        </w:tc>
        <w:tc>
          <w:tcPr>
            <w:tcW w:w="6958" w:type="dxa"/>
            <w:shd w:val="clear" w:color="auto" w:fill="auto"/>
          </w:tcPr>
          <w:p w14:paraId="37E6B9B8" w14:textId="10687412" w:rsidR="003E64EB" w:rsidRDefault="003E64EB" w:rsidP="00787C06">
            <w:pPr>
              <w:jc w:val="both"/>
              <w:rPr>
                <w:rFonts w:ascii="Times New Roman" w:hAnsi="Times New Roman" w:cs="Times New Roman"/>
                <w:bCs/>
                <w:sz w:val="24"/>
                <w:szCs w:val="24"/>
              </w:rPr>
            </w:pPr>
            <w:r w:rsidRPr="009C130F">
              <w:rPr>
                <w:rFonts w:ascii="Times New Roman" w:hAnsi="Times New Roman" w:cs="Times New Roman"/>
                <w:bCs/>
                <w:sz w:val="24"/>
                <w:szCs w:val="24"/>
              </w:rPr>
              <w:t xml:space="preserve">Jā, atbilstoši </w:t>
            </w:r>
            <w:r w:rsidR="005A41D9">
              <w:rPr>
                <w:rFonts w:ascii="Times New Roman" w:hAnsi="Times New Roman" w:cs="Times New Roman"/>
                <w:bCs/>
                <w:sz w:val="24"/>
                <w:szCs w:val="24"/>
              </w:rPr>
              <w:t>IIA</w:t>
            </w:r>
            <w:r w:rsidRPr="009C130F">
              <w:rPr>
                <w:rFonts w:ascii="Times New Roman" w:hAnsi="Times New Roman" w:cs="Times New Roman"/>
                <w:bCs/>
                <w:sz w:val="24"/>
                <w:szCs w:val="24"/>
              </w:rPr>
              <w:t xml:space="preserve"> modeļa sagatave</w:t>
            </w:r>
            <w:r>
              <w:rPr>
                <w:rFonts w:ascii="Times New Roman" w:hAnsi="Times New Roman" w:cs="Times New Roman"/>
                <w:bCs/>
                <w:sz w:val="24"/>
                <w:szCs w:val="24"/>
              </w:rPr>
              <w:t xml:space="preserve">i </w:t>
            </w:r>
            <w:r w:rsidRPr="009C130F">
              <w:rPr>
                <w:rFonts w:ascii="Times New Roman" w:hAnsi="Times New Roman" w:cs="Times New Roman"/>
                <w:bCs/>
                <w:sz w:val="24"/>
                <w:szCs w:val="24"/>
              </w:rPr>
              <w:t>katram partnerim jāizveido sava izklājlapa,</w:t>
            </w:r>
            <w:r>
              <w:rPr>
                <w:rFonts w:ascii="Times New Roman" w:hAnsi="Times New Roman" w:cs="Times New Roman"/>
                <w:bCs/>
                <w:sz w:val="24"/>
                <w:szCs w:val="24"/>
              </w:rPr>
              <w:t xml:space="preserve"> t.</w:t>
            </w:r>
            <w:r w:rsidRPr="009C130F">
              <w:rPr>
                <w:rFonts w:ascii="Times New Roman" w:hAnsi="Times New Roman" w:cs="Times New Roman"/>
                <w:bCs/>
                <w:sz w:val="24"/>
                <w:szCs w:val="24"/>
              </w:rPr>
              <w:t>i</w:t>
            </w:r>
            <w:r>
              <w:rPr>
                <w:rFonts w:ascii="Times New Roman" w:hAnsi="Times New Roman" w:cs="Times New Roman"/>
                <w:bCs/>
                <w:sz w:val="24"/>
                <w:szCs w:val="24"/>
              </w:rPr>
              <w:t>.</w:t>
            </w:r>
            <w:r w:rsidRPr="009C130F">
              <w:rPr>
                <w:rFonts w:ascii="Times New Roman" w:hAnsi="Times New Roman" w:cs="Times New Roman"/>
                <w:bCs/>
                <w:sz w:val="24"/>
                <w:szCs w:val="24"/>
              </w:rPr>
              <w:t>, attiecīgi aizpildāmas ir izklājlapas ”1.2.1.C partneris-1” un “1.2.2.C. Partneris-2”.</w:t>
            </w:r>
          </w:p>
          <w:p w14:paraId="77E016A0" w14:textId="2917A4B2" w:rsidR="003E64EB" w:rsidRPr="004309EF" w:rsidRDefault="003E64EB" w:rsidP="00AA55BC">
            <w:pPr>
              <w:pStyle w:val="msonormal804d7de8fd46f06a46511c7c60d1535e"/>
              <w:jc w:val="both"/>
              <w:rPr>
                <w:sz w:val="24"/>
                <w:szCs w:val="24"/>
              </w:rPr>
            </w:pPr>
          </w:p>
        </w:tc>
      </w:tr>
      <w:tr w:rsidR="003E64EB" w14:paraId="00DB2322" w14:textId="77777777" w:rsidTr="003E64EB">
        <w:tc>
          <w:tcPr>
            <w:tcW w:w="562" w:type="dxa"/>
            <w:shd w:val="clear" w:color="auto" w:fill="F2F2F2" w:themeFill="background1" w:themeFillShade="F2"/>
          </w:tcPr>
          <w:p w14:paraId="6AB2892E" w14:textId="433533D2" w:rsidR="003E64EB" w:rsidRPr="00B6276A" w:rsidRDefault="003E64EB" w:rsidP="00AA55B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428" w:type="dxa"/>
            <w:shd w:val="clear" w:color="auto" w:fill="F2F2F2" w:themeFill="background1" w:themeFillShade="F2"/>
          </w:tcPr>
          <w:p w14:paraId="7D18CE42" w14:textId="01385F74" w:rsidR="003E64EB" w:rsidRPr="002B4619" w:rsidRDefault="003E64EB" w:rsidP="00AA55BC">
            <w:pPr>
              <w:spacing w:line="240" w:lineRule="auto"/>
              <w:jc w:val="both"/>
              <w:rPr>
                <w:rFonts w:ascii="Times New Roman" w:hAnsi="Times New Roman" w:cs="Times New Roman"/>
                <w:sz w:val="24"/>
                <w:szCs w:val="24"/>
              </w:rPr>
            </w:pPr>
            <w:r w:rsidRPr="00B6276A">
              <w:rPr>
                <w:rFonts w:ascii="Times New Roman" w:hAnsi="Times New Roman" w:cs="Times New Roman"/>
                <w:sz w:val="24"/>
                <w:szCs w:val="24"/>
              </w:rPr>
              <w:t>Kas notiek ar aizdevumu, līdz šim tika rēķināts V</w:t>
            </w:r>
            <w:r>
              <w:rPr>
                <w:rFonts w:ascii="Times New Roman" w:hAnsi="Times New Roman" w:cs="Times New Roman"/>
                <w:sz w:val="24"/>
                <w:szCs w:val="24"/>
              </w:rPr>
              <w:t xml:space="preserve">alsts </w:t>
            </w:r>
            <w:r w:rsidRPr="00B6276A">
              <w:rPr>
                <w:rFonts w:ascii="Times New Roman" w:hAnsi="Times New Roman" w:cs="Times New Roman"/>
                <w:sz w:val="24"/>
                <w:szCs w:val="24"/>
              </w:rPr>
              <w:t>K</w:t>
            </w:r>
            <w:r>
              <w:rPr>
                <w:rFonts w:ascii="Times New Roman" w:hAnsi="Times New Roman" w:cs="Times New Roman"/>
                <w:sz w:val="24"/>
                <w:szCs w:val="24"/>
              </w:rPr>
              <w:t>ases</w:t>
            </w:r>
            <w:r w:rsidRPr="00B6276A">
              <w:rPr>
                <w:rFonts w:ascii="Times New Roman" w:hAnsi="Times New Roman" w:cs="Times New Roman"/>
                <w:sz w:val="24"/>
                <w:szCs w:val="24"/>
              </w:rPr>
              <w:t xml:space="preserve"> aizdevums pašvaldībai, bet vai tagad ir jārēķina katrai SIA savs, vai tomēr CFLA domā, ka šis līdzfinansējums nāks no pašvaldības un tiks ieguldīts pamatkapitālā</w:t>
            </w:r>
          </w:p>
        </w:tc>
        <w:tc>
          <w:tcPr>
            <w:tcW w:w="6958" w:type="dxa"/>
            <w:shd w:val="clear" w:color="auto" w:fill="F2F2F2" w:themeFill="background1" w:themeFillShade="F2"/>
          </w:tcPr>
          <w:p w14:paraId="413EBF43" w14:textId="77777777" w:rsidR="003E64EB" w:rsidRPr="00B6276A" w:rsidRDefault="003E64EB" w:rsidP="00787C06">
            <w:pPr>
              <w:spacing w:line="240" w:lineRule="auto"/>
              <w:jc w:val="both"/>
              <w:rPr>
                <w:rFonts w:ascii="Times New Roman" w:hAnsi="Times New Roman" w:cs="Times New Roman"/>
                <w:bCs/>
                <w:sz w:val="24"/>
                <w:szCs w:val="24"/>
              </w:rPr>
            </w:pPr>
            <w:r w:rsidRPr="00B6276A">
              <w:rPr>
                <w:rFonts w:ascii="Times New Roman" w:hAnsi="Times New Roman" w:cs="Times New Roman"/>
                <w:bCs/>
                <w:sz w:val="24"/>
                <w:szCs w:val="24"/>
              </w:rPr>
              <w:t>Projekta iesniedzējs pats izvēlas, kā tas nodrošinās pašu līdzfinansējumu. Protams, pašu līdzfinansējumu par sadarbības partneru daļu drīkst nodrošināt arī paši sadarbības partneri, kā arī tas drīkst būt gan no pašu, gan aizņemtiem līdzekļiem. Projekta iesnieguma 2.1.punktā “Projekta īstenošanas kapacitāte”, rindā “Finansiālā kapacitāte” skaidri jānorāda, kā plānots nodrošināt projekta līdzfinansējumu.</w:t>
            </w:r>
          </w:p>
          <w:p w14:paraId="1F3C3DE4" w14:textId="77777777" w:rsidR="003E64EB" w:rsidRPr="00B6276A" w:rsidRDefault="003E64EB" w:rsidP="00787C06">
            <w:pPr>
              <w:spacing w:line="240" w:lineRule="auto"/>
              <w:jc w:val="both"/>
              <w:rPr>
                <w:rFonts w:ascii="Times New Roman" w:hAnsi="Times New Roman" w:cs="Times New Roman"/>
                <w:bCs/>
                <w:sz w:val="24"/>
                <w:szCs w:val="24"/>
              </w:rPr>
            </w:pPr>
            <w:r w:rsidRPr="00B6276A">
              <w:rPr>
                <w:rFonts w:ascii="Times New Roman" w:hAnsi="Times New Roman" w:cs="Times New Roman"/>
                <w:bCs/>
                <w:sz w:val="24"/>
                <w:szCs w:val="24"/>
              </w:rPr>
              <w:t xml:space="preserve">Ja par sabiedrisko pakalpojumu sniedzēju līdzfinansējuma daļu aizņēmumu plāno ņemt pašvaldība, tad arī joprojām tā to var plānot, vienlaikus, tādā gadījumā tas ir plānojams kā pašvaldības ieguldījums attiecīgo uzņēmumu pamatkapitālā. IIA 4.izklājlapā norāda plānoto aizņēmumu un tā atmaksu, izklājlapā “Pieņēmumi” to var aprēķināt, iekļaujot aizņēmuma kopējā summā arī to daļu, kas plānota kā ieguldījums uzņēmumu pamatkapitālā. Savukārt, ja uzņēmumi paši plānos ņemt aizņēmumus, arī tad izklājlapā “Pieņēmumi” var aprēķināt aizņēmuma atmaksu. 4.izklājlapā būtu jāuzrāda visi aizņēmumi un to atmaksa. </w:t>
            </w:r>
          </w:p>
          <w:p w14:paraId="4879B9D6" w14:textId="68BCE4C0" w:rsidR="003E64EB" w:rsidRPr="002B4619" w:rsidRDefault="003E64EB" w:rsidP="00F21039">
            <w:pPr>
              <w:jc w:val="both"/>
              <w:rPr>
                <w:rFonts w:ascii="Times New Roman" w:hAnsi="Times New Roman" w:cs="Times New Roman"/>
                <w:sz w:val="24"/>
                <w:szCs w:val="24"/>
              </w:rPr>
            </w:pPr>
            <w:r w:rsidRPr="00B6276A">
              <w:rPr>
                <w:rFonts w:ascii="Times New Roman" w:hAnsi="Times New Roman" w:cs="Times New Roman"/>
                <w:bCs/>
                <w:sz w:val="24"/>
                <w:szCs w:val="24"/>
              </w:rPr>
              <w:t xml:space="preserve">Aktualizētais IIA modelis pieejams </w:t>
            </w:r>
            <w:r>
              <w:rPr>
                <w:rFonts w:ascii="Times New Roman" w:hAnsi="Times New Roman" w:cs="Times New Roman"/>
                <w:bCs/>
                <w:sz w:val="24"/>
                <w:szCs w:val="24"/>
              </w:rPr>
              <w:t>VARAM</w:t>
            </w:r>
            <w:r w:rsidRPr="00B6276A">
              <w:rPr>
                <w:rFonts w:ascii="Times New Roman" w:hAnsi="Times New Roman" w:cs="Times New Roman"/>
                <w:bCs/>
                <w:sz w:val="24"/>
                <w:szCs w:val="24"/>
              </w:rPr>
              <w:t xml:space="preserve"> tīmekļa vietnē</w:t>
            </w:r>
            <w:r w:rsidRPr="00B6276A">
              <w:rPr>
                <w:rFonts w:ascii="Times New Roman" w:hAnsi="Times New Roman" w:cs="Times New Roman"/>
                <w:b/>
                <w:sz w:val="24"/>
                <w:szCs w:val="24"/>
              </w:rPr>
              <w:t xml:space="preserve">: </w:t>
            </w:r>
            <w:hyperlink r:id="rId8" w:history="1">
              <w:r w:rsidRPr="001565A8">
                <w:rPr>
                  <w:rStyle w:val="Hyperlink"/>
                  <w:bCs/>
                  <w:sz w:val="24"/>
                  <w:szCs w:val="24"/>
                </w:rPr>
                <w:t>https://www.varam.gov.lv/lv/izmaksu-un-ieguvumu-analizes-metodika-0</w:t>
              </w:r>
            </w:hyperlink>
          </w:p>
        </w:tc>
      </w:tr>
      <w:tr w:rsidR="003E64EB" w:rsidRPr="00EE66F7" w14:paraId="102F7F6A" w14:textId="77777777" w:rsidTr="003E64EB">
        <w:tc>
          <w:tcPr>
            <w:tcW w:w="562" w:type="dxa"/>
          </w:tcPr>
          <w:p w14:paraId="2DF3DCEB" w14:textId="26987A9A" w:rsidR="003E64EB" w:rsidRPr="00B6276A" w:rsidRDefault="003E64EB" w:rsidP="00787C06">
            <w:pPr>
              <w:pStyle w:val="msonormal804d7de8fd46f06a46511c7c60d1535e"/>
              <w:jc w:val="both"/>
              <w:rPr>
                <w:bCs/>
                <w:sz w:val="24"/>
                <w:szCs w:val="24"/>
              </w:rPr>
            </w:pPr>
            <w:r>
              <w:rPr>
                <w:bCs/>
                <w:sz w:val="24"/>
                <w:szCs w:val="24"/>
              </w:rPr>
              <w:t>6.</w:t>
            </w:r>
          </w:p>
        </w:tc>
        <w:tc>
          <w:tcPr>
            <w:tcW w:w="6428" w:type="dxa"/>
          </w:tcPr>
          <w:p w14:paraId="0A185D40" w14:textId="5E4591B6" w:rsidR="003E64EB" w:rsidRPr="00EE66F7" w:rsidRDefault="003E64EB" w:rsidP="00787C06">
            <w:pPr>
              <w:pStyle w:val="msonormal804d7de8fd46f06a46511c7c60d1535e"/>
              <w:jc w:val="both"/>
              <w:rPr>
                <w:sz w:val="24"/>
                <w:szCs w:val="24"/>
                <w:highlight w:val="yellow"/>
              </w:rPr>
            </w:pPr>
            <w:r w:rsidRPr="00B6276A">
              <w:rPr>
                <w:bCs/>
                <w:sz w:val="24"/>
                <w:szCs w:val="24"/>
              </w:rPr>
              <w:t>Kāds valsts atbalsta regulējums attiecas uz SIA, jo viņi ir sabiedriskā pakalpojuma sniedzēji, un te būtu liels atbalsts, ja CFLA iedotu labu teikumu par valsts atbalstu SIA gadījumā un, kuras veidlapas SIA jāaizpilda?</w:t>
            </w:r>
          </w:p>
        </w:tc>
        <w:tc>
          <w:tcPr>
            <w:tcW w:w="6958" w:type="dxa"/>
          </w:tcPr>
          <w:p w14:paraId="52FE6F82" w14:textId="3C74E1E2" w:rsidR="003E64EB" w:rsidRPr="00B6276A" w:rsidRDefault="003E64EB" w:rsidP="00C965B8">
            <w:pPr>
              <w:spacing w:line="240" w:lineRule="auto"/>
              <w:jc w:val="both"/>
              <w:rPr>
                <w:rFonts w:ascii="Times New Roman" w:hAnsi="Times New Roman" w:cs="Times New Roman"/>
                <w:sz w:val="24"/>
                <w:szCs w:val="24"/>
              </w:rPr>
            </w:pPr>
            <w:r w:rsidRPr="00B6276A">
              <w:rPr>
                <w:rFonts w:ascii="Times New Roman" w:hAnsi="Times New Roman" w:cs="Times New Roman"/>
                <w:sz w:val="24"/>
                <w:szCs w:val="24"/>
              </w:rPr>
              <w:t xml:space="preserve">Atbalsts sabiedrisko pakalpojumu sniedzējiem Ministru kabineta noteikumu Nr.645 48.3.3.apakšpunktā noteikto darbību īstenošanai tiek sniegts saskaņā ar Eiropas Komisijas 2011.gada 20.decembra lēmumu Nr.2012/21/ES par Līguma par Eiropas Savienības darbību 106.panta 2.punkta piemērošanu valsts atbalstam attiecībā uz kompensāciju par sabiedriskajiem pakalpojumiem dažiem </w:t>
            </w:r>
            <w:r w:rsidRPr="00B6276A">
              <w:rPr>
                <w:rFonts w:ascii="Times New Roman" w:hAnsi="Times New Roman" w:cs="Times New Roman"/>
                <w:sz w:val="24"/>
                <w:szCs w:val="24"/>
              </w:rPr>
              <w:lastRenderedPageBreak/>
              <w:t>uzņēmumiem, kuriem uzticēts sniegt pakalpojumus ar vispārēju tautsaimniecisku nozīmi (VTNP). Atbalstītie infrastruktūras objekti pēc projekta īstenošanas ir sabiedrisko pakalpojumu sniedzēju īpašumā.</w:t>
            </w:r>
          </w:p>
          <w:p w14:paraId="0608AF90" w14:textId="77777777" w:rsidR="003E64EB" w:rsidRPr="00B6276A" w:rsidRDefault="003E64EB" w:rsidP="00C965B8">
            <w:pPr>
              <w:spacing w:line="240" w:lineRule="auto"/>
              <w:jc w:val="both"/>
              <w:rPr>
                <w:rFonts w:ascii="Times New Roman" w:hAnsi="Times New Roman" w:cs="Times New Roman"/>
                <w:sz w:val="24"/>
                <w:szCs w:val="24"/>
              </w:rPr>
            </w:pPr>
            <w:r w:rsidRPr="00B6276A">
              <w:rPr>
                <w:rFonts w:ascii="Times New Roman" w:hAnsi="Times New Roman" w:cs="Times New Roman"/>
                <w:sz w:val="24"/>
                <w:szCs w:val="24"/>
              </w:rPr>
              <w:t>Ja projektā ir paredzēts VTNP atbalsts, tad:</w:t>
            </w:r>
          </w:p>
          <w:p w14:paraId="1643D8EB" w14:textId="77777777" w:rsidR="003E64EB" w:rsidRPr="00B6276A" w:rsidRDefault="003E64EB" w:rsidP="00C965B8">
            <w:pPr>
              <w:pStyle w:val="ListParagraph"/>
              <w:numPr>
                <w:ilvl w:val="0"/>
                <w:numId w:val="33"/>
              </w:numPr>
              <w:spacing w:line="240" w:lineRule="auto"/>
              <w:contextualSpacing w:val="0"/>
              <w:jc w:val="both"/>
              <w:rPr>
                <w:rFonts w:ascii="Times New Roman" w:hAnsi="Times New Roman" w:cs="Times New Roman"/>
                <w:sz w:val="24"/>
                <w:szCs w:val="24"/>
              </w:rPr>
            </w:pPr>
            <w:r w:rsidRPr="00B6276A">
              <w:rPr>
                <w:rFonts w:ascii="Times New Roman" w:hAnsi="Times New Roman" w:cs="Times New Roman"/>
                <w:sz w:val="24"/>
                <w:szCs w:val="24"/>
              </w:rPr>
              <w:t>projekta iesnieguma 7.sadaļā “Valsts atbalsta jautājumi” atzīmē atbalsta mērķi “Atbalsts vispārējas tautsaimnieciskas nozīmes pakalpojumiem”;</w:t>
            </w:r>
          </w:p>
          <w:p w14:paraId="43E56C4A" w14:textId="2A15D173" w:rsidR="003E64EB" w:rsidRPr="00B6276A" w:rsidRDefault="003E64EB" w:rsidP="00C965B8">
            <w:pPr>
              <w:pStyle w:val="ListParagraph"/>
              <w:numPr>
                <w:ilvl w:val="0"/>
                <w:numId w:val="33"/>
              </w:numPr>
              <w:spacing w:line="240" w:lineRule="auto"/>
              <w:contextualSpacing w:val="0"/>
              <w:jc w:val="both"/>
              <w:rPr>
                <w:rFonts w:ascii="Times New Roman" w:hAnsi="Times New Roman" w:cs="Times New Roman"/>
                <w:sz w:val="24"/>
                <w:szCs w:val="24"/>
              </w:rPr>
            </w:pPr>
            <w:r w:rsidRPr="00B6276A">
              <w:rPr>
                <w:rFonts w:ascii="Times New Roman" w:hAnsi="Times New Roman" w:cs="Times New Roman"/>
                <w:sz w:val="24"/>
                <w:szCs w:val="24"/>
              </w:rPr>
              <w:t xml:space="preserve">iesniedz projektu iesniegumu </w:t>
            </w:r>
            <w:hyperlink r:id="rId9" w:history="1">
              <w:r w:rsidRPr="00C965B8">
                <w:rPr>
                  <w:rStyle w:val="Hyperlink"/>
                  <w:sz w:val="24"/>
                  <w:szCs w:val="24"/>
                </w:rPr>
                <w:t>atlases nolikumā</w:t>
              </w:r>
            </w:hyperlink>
            <w:r>
              <w:rPr>
                <w:rFonts w:ascii="Times New Roman" w:hAnsi="Times New Roman" w:cs="Times New Roman"/>
                <w:sz w:val="24"/>
                <w:szCs w:val="24"/>
              </w:rPr>
              <w:t xml:space="preserve"> </w:t>
            </w:r>
            <w:r w:rsidRPr="00B6276A">
              <w:rPr>
                <w:rFonts w:ascii="Times New Roman" w:hAnsi="Times New Roman" w:cs="Times New Roman"/>
                <w:sz w:val="24"/>
                <w:szCs w:val="24"/>
              </w:rPr>
              <w:t>noteiktos pielikumus:</w:t>
            </w:r>
          </w:p>
          <w:p w14:paraId="53782035" w14:textId="3508B6A5" w:rsidR="003E64EB" w:rsidRPr="00B6276A" w:rsidRDefault="003E64EB" w:rsidP="00C965B8">
            <w:pPr>
              <w:pStyle w:val="ListParagraph"/>
              <w:numPr>
                <w:ilvl w:val="0"/>
                <w:numId w:val="30"/>
              </w:numPr>
              <w:spacing w:line="240" w:lineRule="auto"/>
              <w:ind w:left="1001" w:hanging="425"/>
              <w:contextualSpacing w:val="0"/>
              <w:jc w:val="both"/>
              <w:rPr>
                <w:rFonts w:ascii="Times New Roman" w:hAnsi="Times New Roman" w:cs="Times New Roman"/>
                <w:sz w:val="24"/>
                <w:szCs w:val="24"/>
              </w:rPr>
            </w:pPr>
            <w:r>
              <w:rPr>
                <w:rFonts w:ascii="Times New Roman" w:hAnsi="Times New Roman" w:cs="Times New Roman"/>
                <w:sz w:val="24"/>
                <w:szCs w:val="24"/>
              </w:rPr>
              <w:t>a</w:t>
            </w:r>
            <w:r w:rsidRPr="00B6276A">
              <w:rPr>
                <w:rFonts w:ascii="Times New Roman" w:hAnsi="Times New Roman" w:cs="Times New Roman"/>
                <w:sz w:val="24"/>
                <w:szCs w:val="24"/>
              </w:rPr>
              <w:t>pliecinājumu par nosacījumu izpildi attiecībā uz piešķirto kompensāciju apmēru un pārmērīgas kompensācijas kontroli;</w:t>
            </w:r>
          </w:p>
          <w:p w14:paraId="42787C7A" w14:textId="672E7EF5" w:rsidR="003E64EB" w:rsidRPr="00B6276A" w:rsidRDefault="003E64EB" w:rsidP="00C965B8">
            <w:pPr>
              <w:pStyle w:val="ListParagraph"/>
              <w:numPr>
                <w:ilvl w:val="0"/>
                <w:numId w:val="30"/>
              </w:numPr>
              <w:spacing w:line="240" w:lineRule="auto"/>
              <w:ind w:left="1001" w:hanging="425"/>
              <w:contextualSpacing w:val="0"/>
              <w:jc w:val="both"/>
              <w:rPr>
                <w:rFonts w:ascii="Times New Roman" w:hAnsi="Times New Roman" w:cs="Times New Roman"/>
                <w:sz w:val="24"/>
                <w:szCs w:val="24"/>
              </w:rPr>
            </w:pPr>
            <w:r>
              <w:rPr>
                <w:rFonts w:ascii="Times New Roman" w:hAnsi="Times New Roman" w:cs="Times New Roman"/>
                <w:sz w:val="24"/>
                <w:szCs w:val="24"/>
              </w:rPr>
              <w:t>a</w:t>
            </w:r>
            <w:r w:rsidRPr="00B6276A">
              <w:rPr>
                <w:rFonts w:ascii="Times New Roman" w:hAnsi="Times New Roman" w:cs="Times New Roman"/>
                <w:sz w:val="24"/>
                <w:szCs w:val="24"/>
              </w:rPr>
              <w:t>pliecinājumu, ka projekta iesniedzējs vai sadarbības partneris kā saimnieciskās darbības veicējs uz projekta iesnieguma iesniegšanas brīdi neatbilst grūtībās nonākuša saimnieciskās darbības veicēja pazīmēm;</w:t>
            </w:r>
          </w:p>
          <w:p w14:paraId="234C2B64" w14:textId="31F5788B" w:rsidR="003E64EB" w:rsidRPr="00B6276A" w:rsidRDefault="003E64EB" w:rsidP="00C965B8">
            <w:pPr>
              <w:pStyle w:val="ListParagraph"/>
              <w:numPr>
                <w:ilvl w:val="0"/>
                <w:numId w:val="30"/>
              </w:numPr>
              <w:spacing w:line="240" w:lineRule="auto"/>
              <w:ind w:left="1001" w:hanging="425"/>
              <w:contextualSpacing w:val="0"/>
              <w:jc w:val="both"/>
              <w:rPr>
                <w:rFonts w:ascii="Times New Roman" w:hAnsi="Times New Roman" w:cs="Times New Roman"/>
                <w:sz w:val="24"/>
                <w:szCs w:val="24"/>
              </w:rPr>
            </w:pPr>
            <w:r>
              <w:rPr>
                <w:rFonts w:ascii="Times New Roman" w:hAnsi="Times New Roman" w:cs="Times New Roman"/>
                <w:sz w:val="24"/>
                <w:szCs w:val="24"/>
              </w:rPr>
              <w:t>p</w:t>
            </w:r>
            <w:r w:rsidRPr="00B6276A">
              <w:rPr>
                <w:rFonts w:ascii="Times New Roman" w:hAnsi="Times New Roman" w:cs="Times New Roman"/>
                <w:sz w:val="24"/>
                <w:szCs w:val="24"/>
              </w:rPr>
              <w:t>rojekta iesniedzēja un sadarbības partnera informāciju par saņemto un plānoto valsts atbalstu;</w:t>
            </w:r>
          </w:p>
          <w:p w14:paraId="3C29515A" w14:textId="71C7DF8D" w:rsidR="003E64EB" w:rsidRPr="00B6276A" w:rsidRDefault="003E64EB" w:rsidP="00C965B8">
            <w:pPr>
              <w:pStyle w:val="ListParagraph"/>
              <w:numPr>
                <w:ilvl w:val="0"/>
                <w:numId w:val="30"/>
              </w:numPr>
              <w:spacing w:line="240" w:lineRule="auto"/>
              <w:ind w:left="1001"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B6276A">
              <w:rPr>
                <w:rFonts w:ascii="Times New Roman" w:hAnsi="Times New Roman" w:cs="Times New Roman"/>
                <w:sz w:val="24"/>
                <w:szCs w:val="24"/>
              </w:rPr>
              <w:t>adarbības līgumu ar projekta sadarbības partneri, kas noslēgts starp projekta iesniedzēju un projekta sadarbības partneri (</w:t>
            </w:r>
            <w:r>
              <w:rPr>
                <w:rFonts w:ascii="Times New Roman" w:hAnsi="Times New Roman" w:cs="Times New Roman"/>
                <w:sz w:val="24"/>
                <w:szCs w:val="24"/>
              </w:rPr>
              <w:t xml:space="preserve">pie izsludinātā </w:t>
            </w:r>
            <w:hyperlink r:id="rId10" w:history="1">
              <w:r w:rsidRPr="00C965B8">
                <w:rPr>
                  <w:rStyle w:val="Hyperlink"/>
                  <w:sz w:val="24"/>
                  <w:szCs w:val="24"/>
                </w:rPr>
                <w:t>atlases nolikuma pieejams palīgmateriāls</w:t>
              </w:r>
            </w:hyperlink>
            <w:r w:rsidRPr="00B6276A">
              <w:rPr>
                <w:rFonts w:ascii="Times New Roman" w:hAnsi="Times New Roman" w:cs="Times New Roman"/>
                <w:sz w:val="24"/>
                <w:szCs w:val="24"/>
              </w:rPr>
              <w:t>: Par sadarbības līguma saturu);</w:t>
            </w:r>
          </w:p>
          <w:p w14:paraId="63BE221C" w14:textId="476281E7" w:rsidR="003E64EB" w:rsidRPr="00EE66F7" w:rsidRDefault="003E64EB" w:rsidP="00C965B8">
            <w:pPr>
              <w:pStyle w:val="paragraph"/>
              <w:numPr>
                <w:ilvl w:val="0"/>
                <w:numId w:val="34"/>
              </w:numPr>
              <w:spacing w:before="0" w:beforeAutospacing="0" w:after="0" w:afterAutospacing="0"/>
              <w:ind w:left="1001" w:hanging="425"/>
              <w:jc w:val="both"/>
              <w:textAlignment w:val="baseline"/>
              <w:rPr>
                <w:color w:val="000000"/>
              </w:rPr>
            </w:pPr>
            <w:r>
              <w:t>a</w:t>
            </w:r>
            <w:r w:rsidRPr="00B6276A">
              <w:t>r pašvaldību noslēgtu pakalpojuma līgumu par sabiedrisko pakalpojumu sniegšanu vai pieņemto lēmumu par sabiedrisko pakalpojumu sniegšanu.</w:t>
            </w:r>
          </w:p>
        </w:tc>
      </w:tr>
      <w:tr w:rsidR="003E64EB" w:rsidRPr="008F59B0" w14:paraId="2360F25E" w14:textId="77777777" w:rsidTr="003E64EB">
        <w:tc>
          <w:tcPr>
            <w:tcW w:w="562" w:type="dxa"/>
            <w:shd w:val="clear" w:color="auto" w:fill="F2F2F2" w:themeFill="background1" w:themeFillShade="F2"/>
          </w:tcPr>
          <w:p w14:paraId="5CF274F2" w14:textId="2FE56E13" w:rsidR="003E64EB" w:rsidRPr="00B6276A" w:rsidRDefault="003E64EB" w:rsidP="00787C0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6428" w:type="dxa"/>
            <w:shd w:val="clear" w:color="auto" w:fill="F2F2F2" w:themeFill="background1" w:themeFillShade="F2"/>
          </w:tcPr>
          <w:p w14:paraId="01F70BB9" w14:textId="7F6EE920" w:rsidR="003E64EB" w:rsidRPr="006215A2" w:rsidRDefault="003E64EB" w:rsidP="00787C06">
            <w:pPr>
              <w:spacing w:line="240" w:lineRule="auto"/>
              <w:jc w:val="both"/>
              <w:rPr>
                <w:rFonts w:ascii="Times New Roman" w:hAnsi="Times New Roman" w:cs="Times New Roman"/>
                <w:sz w:val="24"/>
                <w:szCs w:val="24"/>
              </w:rPr>
            </w:pPr>
            <w:r w:rsidRPr="00B6276A">
              <w:rPr>
                <w:rFonts w:ascii="Times New Roman" w:hAnsi="Times New Roman" w:cs="Times New Roman"/>
                <w:bCs/>
                <w:sz w:val="24"/>
                <w:szCs w:val="24"/>
              </w:rPr>
              <w:t>Kas tieši tad ir jāapstiprina no SIA puses un kas no pašvaldības? Ja projekta iesniedzējs ir pašvaldība, tad kādā veidā ERAF finansējums nonāks līdz SIA? Nav skaidrs process kā ERAF finansējums var nonākt līdz SIA?</w:t>
            </w:r>
          </w:p>
        </w:tc>
        <w:tc>
          <w:tcPr>
            <w:tcW w:w="6958" w:type="dxa"/>
            <w:shd w:val="clear" w:color="auto" w:fill="F2F2F2" w:themeFill="background1" w:themeFillShade="F2"/>
          </w:tcPr>
          <w:p w14:paraId="1DE633E1" w14:textId="6D6CFB92" w:rsidR="003E64EB" w:rsidRPr="00AA34E7" w:rsidRDefault="003E64EB" w:rsidP="00787C06">
            <w:pPr>
              <w:pStyle w:val="ListParagraph"/>
              <w:spacing w:line="240" w:lineRule="auto"/>
              <w:ind w:left="0"/>
              <w:jc w:val="both"/>
              <w:rPr>
                <w:rFonts w:ascii="Times New Roman" w:hAnsi="Times New Roman" w:cs="Times New Roman"/>
                <w:sz w:val="24"/>
                <w:szCs w:val="24"/>
              </w:rPr>
            </w:pPr>
            <w:r w:rsidRPr="00B6276A">
              <w:rPr>
                <w:rFonts w:ascii="Times New Roman" w:hAnsi="Times New Roman" w:cs="Times New Roman"/>
                <w:sz w:val="24"/>
                <w:szCs w:val="24"/>
              </w:rPr>
              <w:t>CFLA slēdz vienošanos par projekta īstenošanu un finansējumu izmaksā tikai finansējuma saņēmējam - pašvaldībai. Tālāk pašvaldība finansējumu pārskaita sadarbības partnerim, atbilstoši noslēgtā sadarbības līguma nosacījumiem. Attiecībā uz maksājuma pieprasījumiem - tos CFLA iesniedz finansējuma saņēmējs, iekļaujot gan savus rēķinus un maksājumus, gan sadarbības partnera rēķinus un maksājumus.</w:t>
            </w:r>
          </w:p>
        </w:tc>
      </w:tr>
      <w:tr w:rsidR="003E64EB" w:rsidRPr="008F59B0" w14:paraId="01891D8B" w14:textId="77777777" w:rsidTr="003E64EB">
        <w:tc>
          <w:tcPr>
            <w:tcW w:w="562" w:type="dxa"/>
            <w:shd w:val="clear" w:color="auto" w:fill="FFFFFF" w:themeFill="background1"/>
          </w:tcPr>
          <w:p w14:paraId="50CE270E" w14:textId="53129929" w:rsidR="003E64EB" w:rsidRPr="00B6276A" w:rsidRDefault="003E64EB" w:rsidP="00787C0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6428" w:type="dxa"/>
            <w:shd w:val="clear" w:color="auto" w:fill="FFFFFF" w:themeFill="background1"/>
          </w:tcPr>
          <w:p w14:paraId="6518D5AC" w14:textId="5C7D5FB9" w:rsidR="003E64EB" w:rsidRPr="00212048" w:rsidRDefault="003E64EB" w:rsidP="00787C06">
            <w:pPr>
              <w:spacing w:line="240" w:lineRule="auto"/>
              <w:jc w:val="both"/>
              <w:rPr>
                <w:rFonts w:ascii="Times New Roman" w:hAnsi="Times New Roman" w:cs="Times New Roman"/>
                <w:sz w:val="24"/>
                <w:szCs w:val="24"/>
              </w:rPr>
            </w:pPr>
            <w:r w:rsidRPr="00B6276A">
              <w:rPr>
                <w:rFonts w:ascii="Times New Roman" w:hAnsi="Times New Roman" w:cs="Times New Roman"/>
                <w:bCs/>
                <w:sz w:val="24"/>
                <w:szCs w:val="24"/>
              </w:rPr>
              <w:t>Būvuzraudzība ir viens iepirkums (viens līgums visiem objektiem), kā lai to nodala uz SIA un vai tā ir obligāta pozīcija, kuru sedz SIA pats no saviem resursiem?</w:t>
            </w:r>
          </w:p>
        </w:tc>
        <w:tc>
          <w:tcPr>
            <w:tcW w:w="6958" w:type="dxa"/>
            <w:shd w:val="clear" w:color="auto" w:fill="FFFFFF" w:themeFill="background1"/>
          </w:tcPr>
          <w:p w14:paraId="5AA831BE" w14:textId="13C6BE1C" w:rsidR="003E64EB" w:rsidRPr="00C965B8" w:rsidRDefault="003E64EB" w:rsidP="00C965B8">
            <w:pPr>
              <w:spacing w:line="240" w:lineRule="auto"/>
              <w:jc w:val="both"/>
              <w:rPr>
                <w:rFonts w:ascii="Times New Roman" w:hAnsi="Times New Roman" w:cs="Times New Roman"/>
                <w:sz w:val="24"/>
                <w:szCs w:val="24"/>
              </w:rPr>
            </w:pPr>
            <w:r w:rsidRPr="00C965B8">
              <w:rPr>
                <w:rFonts w:ascii="Times New Roman" w:hAnsi="Times New Roman" w:cs="Times New Roman"/>
                <w:sz w:val="24"/>
                <w:szCs w:val="24"/>
                <w:lang w:eastAsia="lv-LV"/>
              </w:rPr>
              <w:t>Būvuzraudzības izmaksas var nodalīt dažādi. Vienā iepirkumā paredzot pretendentam iesniegt cenu par katru darbu daļu, un tad attiecīgi rēķinus atmaksā atsevišķi par katru būvuzraudzības daļu. Ja sākotnēji būvuzraudzības daļas nav bijušas nodalītas, tās var aprēķināt proporcionāli no būvdarbu izmaksām, vienojoties ar būvuzraudzības veicēju, tiek izrakstīti divi rēķini, atbilstoši būvdarbu proporcijai (nemainot citus būvuzraudzības līguma nosacījumus un apmaksas kārtību).</w:t>
            </w:r>
          </w:p>
        </w:tc>
      </w:tr>
      <w:tr w:rsidR="003E64EB" w14:paraId="235FE2E7" w14:textId="77777777" w:rsidTr="003E64EB">
        <w:tc>
          <w:tcPr>
            <w:tcW w:w="562" w:type="dxa"/>
            <w:shd w:val="clear" w:color="auto" w:fill="F2F2F2" w:themeFill="background1" w:themeFillShade="F2"/>
          </w:tcPr>
          <w:p w14:paraId="654E9D79" w14:textId="60634D2C" w:rsidR="003E64EB" w:rsidRPr="00B6276A" w:rsidRDefault="003E64EB" w:rsidP="00787C06">
            <w:pPr>
              <w:jc w:val="both"/>
              <w:rPr>
                <w:rFonts w:ascii="Times New Roman" w:hAnsi="Times New Roman" w:cs="Times New Roman"/>
                <w:sz w:val="24"/>
                <w:szCs w:val="24"/>
              </w:rPr>
            </w:pPr>
            <w:r>
              <w:rPr>
                <w:rFonts w:ascii="Times New Roman" w:hAnsi="Times New Roman" w:cs="Times New Roman"/>
                <w:sz w:val="24"/>
                <w:szCs w:val="24"/>
              </w:rPr>
              <w:t>9.</w:t>
            </w:r>
          </w:p>
        </w:tc>
        <w:tc>
          <w:tcPr>
            <w:tcW w:w="6428" w:type="dxa"/>
            <w:shd w:val="clear" w:color="auto" w:fill="F2F2F2" w:themeFill="background1" w:themeFillShade="F2"/>
          </w:tcPr>
          <w:p w14:paraId="39EEFE3D" w14:textId="0FBD1EAD" w:rsidR="003E64EB" w:rsidRDefault="003E64EB" w:rsidP="00787C06">
            <w:pPr>
              <w:jc w:val="both"/>
              <w:rPr>
                <w:rFonts w:ascii="Times New Roman" w:hAnsi="Times New Roman" w:cs="Times New Roman"/>
                <w:sz w:val="24"/>
                <w:szCs w:val="24"/>
              </w:rPr>
            </w:pPr>
            <w:r w:rsidRPr="00B6276A">
              <w:rPr>
                <w:rFonts w:ascii="Times New Roman" w:hAnsi="Times New Roman" w:cs="Times New Roman"/>
                <w:sz w:val="24"/>
                <w:szCs w:val="24"/>
              </w:rPr>
              <w:t>Par būvdarbu līgumu: 6. Līguma izpildes laikā BŪVUZŅĒMĒJAM līguma izpildes nodrošinājuma apmērs jāuztur spēkā atbilstoši Līguma summai. Vai pieļaujams, ka Pasūtītājs nosaka, ka aktualizēts līguma nodrošinājums jāiesniedz tajā brīdī, kad kopējo līguma summa pārsniedz 5 vai 10%, proti, pie jebkurām izmaiņām neefektīvi BŪVUZŅĒMĒJAM sniegt aktualizētu līguma izpildes polisi?</w:t>
            </w:r>
          </w:p>
        </w:tc>
        <w:tc>
          <w:tcPr>
            <w:tcW w:w="6958" w:type="dxa"/>
            <w:shd w:val="clear" w:color="auto" w:fill="F2F2F2" w:themeFill="background1" w:themeFillShade="F2"/>
          </w:tcPr>
          <w:p w14:paraId="209C3311" w14:textId="318DC267" w:rsidR="003E64EB" w:rsidRPr="00CE4C27" w:rsidRDefault="003E64EB" w:rsidP="00787C06">
            <w:pPr>
              <w:jc w:val="both"/>
              <w:rPr>
                <w:rFonts w:ascii="Times New Roman" w:hAnsi="Times New Roman" w:cs="Times New Roman"/>
                <w:sz w:val="24"/>
                <w:szCs w:val="24"/>
              </w:rPr>
            </w:pPr>
            <w:r w:rsidRPr="00B6276A">
              <w:rPr>
                <w:rFonts w:ascii="Times New Roman" w:hAnsi="Times New Roman" w:cs="Times New Roman"/>
                <w:sz w:val="24"/>
                <w:szCs w:val="24"/>
              </w:rPr>
              <w:t>Jā, līguma izpildes nodrošinājums iesniedzams atbilstoši līguma nosacījumiem, kuros var atrunāt kārtību līguma cenas pieauguma gadījumā. Tomēr šai kārtībai jābūt atrunātai jau uz iepirkuma izsludināšanas brīdi. Vēlākas izmaiņas jau noslēgtā līgumā, kas atvieglo būvuzņēmēja saistības, var tikt uzskatītas par būtiskiem līguma grozījumiem, kas nav pieļaujami.</w:t>
            </w:r>
          </w:p>
        </w:tc>
      </w:tr>
      <w:tr w:rsidR="003E64EB" w14:paraId="4DA5B9A2" w14:textId="77777777" w:rsidTr="003E64EB">
        <w:tc>
          <w:tcPr>
            <w:tcW w:w="562" w:type="dxa"/>
          </w:tcPr>
          <w:p w14:paraId="297F527B" w14:textId="06B1C91C" w:rsidR="003E64EB" w:rsidRPr="00DC6BA1" w:rsidRDefault="003E64EB" w:rsidP="00787C06">
            <w:pPr>
              <w:jc w:val="both"/>
              <w:rPr>
                <w:rFonts w:ascii="Times New Roman" w:hAnsi="Times New Roman" w:cs="Times New Roman"/>
                <w:sz w:val="24"/>
                <w:szCs w:val="24"/>
              </w:rPr>
            </w:pPr>
            <w:r>
              <w:rPr>
                <w:rFonts w:ascii="Times New Roman" w:hAnsi="Times New Roman" w:cs="Times New Roman"/>
                <w:sz w:val="24"/>
                <w:szCs w:val="24"/>
              </w:rPr>
              <w:t>10.</w:t>
            </w:r>
          </w:p>
        </w:tc>
        <w:tc>
          <w:tcPr>
            <w:tcW w:w="6428" w:type="dxa"/>
            <w:shd w:val="clear" w:color="auto" w:fill="auto"/>
          </w:tcPr>
          <w:p w14:paraId="2D29FE59" w14:textId="3F2C81E0" w:rsidR="003E64EB" w:rsidRDefault="003E64EB" w:rsidP="00787C06">
            <w:pPr>
              <w:jc w:val="both"/>
              <w:rPr>
                <w:rFonts w:ascii="Times New Roman" w:hAnsi="Times New Roman" w:cs="Times New Roman"/>
                <w:sz w:val="24"/>
                <w:szCs w:val="24"/>
              </w:rPr>
            </w:pPr>
            <w:r w:rsidRPr="00DC6BA1">
              <w:rPr>
                <w:rFonts w:ascii="Times New Roman" w:hAnsi="Times New Roman" w:cs="Times New Roman"/>
                <w:sz w:val="24"/>
                <w:szCs w:val="24"/>
              </w:rPr>
              <w:t>Kādi ir ātrākie termiņi, lai noslēgtu vienošanās par projekta īstenošanu? Kā konkrēti būs jāiesniedz sasniedzamie rādītāji, ja gada atskaites vēl nebūs iesniegtas. Kā tiks rēķināta finanšu korekcija nesasniegšanas gadījumā?</w:t>
            </w:r>
          </w:p>
        </w:tc>
        <w:tc>
          <w:tcPr>
            <w:tcW w:w="6958" w:type="dxa"/>
            <w:shd w:val="clear" w:color="auto" w:fill="auto"/>
          </w:tcPr>
          <w:p w14:paraId="07D8928A" w14:textId="1BA41343" w:rsidR="003E64EB" w:rsidRDefault="003E64EB" w:rsidP="00787C06">
            <w:pPr>
              <w:jc w:val="both"/>
              <w:rPr>
                <w:rFonts w:ascii="Times New Roman" w:hAnsi="Times New Roman" w:cs="Times New Roman"/>
                <w:sz w:val="24"/>
                <w:szCs w:val="24"/>
              </w:rPr>
            </w:pPr>
            <w:r>
              <w:rPr>
                <w:rFonts w:ascii="Times New Roman" w:hAnsi="Times New Roman" w:cs="Times New Roman"/>
                <w:sz w:val="24"/>
                <w:szCs w:val="24"/>
              </w:rPr>
              <w:t xml:space="preserve">Tas ir atkarīgs no vairākiem apstākļiem: no projekta iesnieguma iesniegšanas brīža, projekta satura sarežģītības, gatavības pakāpes un atbilstības visiem </w:t>
            </w:r>
            <w:r w:rsidR="008217A0">
              <w:rPr>
                <w:rFonts w:ascii="Times New Roman" w:hAnsi="Times New Roman" w:cs="Times New Roman"/>
                <w:sz w:val="24"/>
                <w:szCs w:val="24"/>
              </w:rPr>
              <w:t xml:space="preserve">projektu iesniegumu </w:t>
            </w:r>
            <w:r>
              <w:rPr>
                <w:rFonts w:ascii="Times New Roman" w:hAnsi="Times New Roman" w:cs="Times New Roman"/>
                <w:sz w:val="24"/>
                <w:szCs w:val="24"/>
              </w:rPr>
              <w:t>vērtēšanas kritērijiem. Saskaņā ar indikatīvo vērtēšanas laika grafiku, sākotnējā p</w:t>
            </w:r>
            <w:r w:rsidRPr="001565A8">
              <w:rPr>
                <w:rFonts w:ascii="Times New Roman" w:hAnsi="Times New Roman" w:cs="Times New Roman"/>
                <w:sz w:val="24"/>
                <w:szCs w:val="24"/>
              </w:rPr>
              <w:t>rojekt</w:t>
            </w:r>
            <w:r>
              <w:rPr>
                <w:rFonts w:ascii="Times New Roman" w:hAnsi="Times New Roman" w:cs="Times New Roman"/>
                <w:sz w:val="24"/>
                <w:szCs w:val="24"/>
              </w:rPr>
              <w:t>u</w:t>
            </w:r>
            <w:r w:rsidRPr="001565A8">
              <w:rPr>
                <w:rFonts w:ascii="Times New Roman" w:hAnsi="Times New Roman" w:cs="Times New Roman"/>
                <w:sz w:val="24"/>
                <w:szCs w:val="24"/>
              </w:rPr>
              <w:t xml:space="preserve"> iesniegum</w:t>
            </w:r>
            <w:r>
              <w:rPr>
                <w:rFonts w:ascii="Times New Roman" w:hAnsi="Times New Roman" w:cs="Times New Roman"/>
                <w:sz w:val="24"/>
                <w:szCs w:val="24"/>
              </w:rPr>
              <w:t>u</w:t>
            </w:r>
            <w:r w:rsidRPr="001565A8">
              <w:rPr>
                <w:rFonts w:ascii="Times New Roman" w:hAnsi="Times New Roman" w:cs="Times New Roman"/>
                <w:sz w:val="24"/>
                <w:szCs w:val="24"/>
              </w:rPr>
              <w:t xml:space="preserve"> vērtēšana un lēmuma pieņemšana</w:t>
            </w:r>
            <w:r>
              <w:rPr>
                <w:rFonts w:ascii="Times New Roman" w:hAnsi="Times New Roman" w:cs="Times New Roman"/>
                <w:sz w:val="24"/>
                <w:szCs w:val="24"/>
              </w:rPr>
              <w:t xml:space="preserve"> plānota līdz š.g. 10.jūnijam.</w:t>
            </w:r>
          </w:p>
          <w:p w14:paraId="3EA6CD61" w14:textId="04A8DC13" w:rsidR="003E64EB" w:rsidRDefault="003E64EB" w:rsidP="00787C06">
            <w:pPr>
              <w:jc w:val="both"/>
              <w:rPr>
                <w:rFonts w:ascii="Times New Roman" w:hAnsi="Times New Roman" w:cs="Times New Roman"/>
                <w:sz w:val="24"/>
                <w:szCs w:val="24"/>
              </w:rPr>
            </w:pPr>
            <w:r>
              <w:rPr>
                <w:rFonts w:ascii="Times New Roman" w:hAnsi="Times New Roman" w:cs="Times New Roman"/>
                <w:sz w:val="24"/>
                <w:szCs w:val="24"/>
              </w:rPr>
              <w:t xml:space="preserve">Rādītāju pārskats/ </w:t>
            </w:r>
            <w:r w:rsidRPr="00B8721B">
              <w:rPr>
                <w:rFonts w:ascii="Times New Roman" w:hAnsi="Times New Roman" w:cs="Times New Roman"/>
                <w:sz w:val="24"/>
                <w:szCs w:val="24"/>
              </w:rPr>
              <w:t xml:space="preserve">pēdējais </w:t>
            </w:r>
            <w:r>
              <w:rPr>
                <w:rFonts w:ascii="Times New Roman" w:hAnsi="Times New Roman" w:cs="Times New Roman"/>
                <w:sz w:val="24"/>
                <w:szCs w:val="24"/>
              </w:rPr>
              <w:t>r</w:t>
            </w:r>
            <w:r w:rsidRPr="00B8721B">
              <w:rPr>
                <w:rFonts w:ascii="Times New Roman" w:hAnsi="Times New Roman" w:cs="Times New Roman"/>
                <w:sz w:val="24"/>
                <w:szCs w:val="24"/>
              </w:rPr>
              <w:t xml:space="preserve">ādītāju pārskats jāiesniedz ne vēlāk kā līdz nākamā kalendāra gada 1. jūnijam pēc perioda, kad iznākuma rādītāju vērtībām jābūt pilnībā sasniegtām, tas ir, ne vēlāk kā </w:t>
            </w:r>
            <w:r w:rsidR="008217A0">
              <w:rPr>
                <w:rFonts w:ascii="Times New Roman" w:hAnsi="Times New Roman" w:cs="Times New Roman"/>
                <w:sz w:val="24"/>
                <w:szCs w:val="24"/>
              </w:rPr>
              <w:t xml:space="preserve">2023.gada </w:t>
            </w:r>
            <w:r w:rsidRPr="00B8721B">
              <w:rPr>
                <w:rFonts w:ascii="Times New Roman" w:hAnsi="Times New Roman" w:cs="Times New Roman"/>
                <w:sz w:val="24"/>
                <w:szCs w:val="24"/>
              </w:rPr>
              <w:t>31.</w:t>
            </w:r>
            <w:r w:rsidR="008217A0">
              <w:rPr>
                <w:rFonts w:ascii="Times New Roman" w:hAnsi="Times New Roman" w:cs="Times New Roman"/>
                <w:sz w:val="24"/>
                <w:szCs w:val="24"/>
              </w:rPr>
              <w:t xml:space="preserve">decembrim. </w:t>
            </w:r>
            <w:r w:rsidRPr="00B8721B">
              <w:rPr>
                <w:rFonts w:ascii="Times New Roman" w:hAnsi="Times New Roman" w:cs="Times New Roman"/>
                <w:sz w:val="24"/>
                <w:szCs w:val="24"/>
              </w:rPr>
              <w:t xml:space="preserve">(t.i., ja iznākuma rādītājs sasniegts līdz </w:t>
            </w:r>
            <w:r w:rsidR="008217A0">
              <w:rPr>
                <w:rFonts w:ascii="Times New Roman" w:hAnsi="Times New Roman" w:cs="Times New Roman"/>
                <w:sz w:val="24"/>
                <w:szCs w:val="24"/>
              </w:rPr>
              <w:t xml:space="preserve">2023.gada </w:t>
            </w:r>
            <w:r w:rsidRPr="00B8721B">
              <w:rPr>
                <w:rFonts w:ascii="Times New Roman" w:hAnsi="Times New Roman" w:cs="Times New Roman"/>
                <w:sz w:val="24"/>
                <w:szCs w:val="24"/>
              </w:rPr>
              <w:t>31.</w:t>
            </w:r>
            <w:r w:rsidR="008217A0">
              <w:rPr>
                <w:rFonts w:ascii="Times New Roman" w:hAnsi="Times New Roman" w:cs="Times New Roman"/>
                <w:sz w:val="24"/>
                <w:szCs w:val="24"/>
              </w:rPr>
              <w:t>decembrim</w:t>
            </w:r>
            <w:r w:rsidRPr="00B8721B">
              <w:rPr>
                <w:rFonts w:ascii="Times New Roman" w:hAnsi="Times New Roman" w:cs="Times New Roman"/>
                <w:sz w:val="24"/>
                <w:szCs w:val="24"/>
              </w:rPr>
              <w:t xml:space="preserve">, </w:t>
            </w:r>
            <w:r>
              <w:rPr>
                <w:rFonts w:ascii="Times New Roman" w:hAnsi="Times New Roman" w:cs="Times New Roman"/>
                <w:sz w:val="24"/>
                <w:szCs w:val="24"/>
              </w:rPr>
              <w:t>r</w:t>
            </w:r>
            <w:r w:rsidRPr="00B8721B">
              <w:rPr>
                <w:rFonts w:ascii="Times New Roman" w:hAnsi="Times New Roman" w:cs="Times New Roman"/>
                <w:sz w:val="24"/>
                <w:szCs w:val="24"/>
              </w:rPr>
              <w:t xml:space="preserve">ādītāju pārskatu drīkst iesniegt līdz </w:t>
            </w:r>
            <w:r w:rsidR="008217A0">
              <w:rPr>
                <w:rFonts w:ascii="Times New Roman" w:hAnsi="Times New Roman" w:cs="Times New Roman"/>
                <w:sz w:val="24"/>
                <w:szCs w:val="24"/>
              </w:rPr>
              <w:t xml:space="preserve">2024.gada </w:t>
            </w:r>
            <w:r w:rsidRPr="00B8721B">
              <w:rPr>
                <w:rFonts w:ascii="Times New Roman" w:hAnsi="Times New Roman" w:cs="Times New Roman"/>
                <w:sz w:val="24"/>
                <w:szCs w:val="24"/>
              </w:rPr>
              <w:t>1.</w:t>
            </w:r>
            <w:r w:rsidR="008217A0">
              <w:rPr>
                <w:rFonts w:ascii="Times New Roman" w:hAnsi="Times New Roman" w:cs="Times New Roman"/>
                <w:sz w:val="24"/>
                <w:szCs w:val="24"/>
              </w:rPr>
              <w:t>jūnijam</w:t>
            </w:r>
            <w:r w:rsidRPr="00B8721B">
              <w:rPr>
                <w:rFonts w:ascii="Times New Roman" w:hAnsi="Times New Roman" w:cs="Times New Roman"/>
                <w:sz w:val="24"/>
                <w:szCs w:val="24"/>
              </w:rPr>
              <w:t>).</w:t>
            </w:r>
          </w:p>
          <w:p w14:paraId="0B3C0D1C" w14:textId="6D33D951" w:rsidR="003E64EB" w:rsidRPr="00B8721B" w:rsidRDefault="003E64EB" w:rsidP="00B872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MK noteikumu Nr.645 </w:t>
            </w:r>
            <w:r w:rsidRPr="00B8721B">
              <w:rPr>
                <w:rFonts w:ascii="Times New Roman" w:hAnsi="Times New Roman" w:cs="Times New Roman"/>
                <w:sz w:val="24"/>
                <w:szCs w:val="24"/>
              </w:rPr>
              <w:t>12.</w:t>
            </w:r>
            <w:r>
              <w:rPr>
                <w:rFonts w:ascii="Times New Roman" w:hAnsi="Times New Roman" w:cs="Times New Roman"/>
                <w:sz w:val="24"/>
                <w:szCs w:val="24"/>
              </w:rPr>
              <w:t>punkta nosacījumiem,</w:t>
            </w:r>
            <w:r w:rsidRPr="00B8721B">
              <w:rPr>
                <w:rFonts w:ascii="Times New Roman" w:hAnsi="Times New Roman" w:cs="Times New Roman"/>
                <w:sz w:val="24"/>
                <w:szCs w:val="24"/>
              </w:rPr>
              <w:t xml:space="preserve"> </w:t>
            </w:r>
            <w:r>
              <w:rPr>
                <w:rFonts w:ascii="Times New Roman" w:hAnsi="Times New Roman" w:cs="Times New Roman"/>
                <w:sz w:val="24"/>
                <w:szCs w:val="24"/>
              </w:rPr>
              <w:t>j</w:t>
            </w:r>
            <w:r w:rsidRPr="00B8721B">
              <w:rPr>
                <w:rFonts w:ascii="Times New Roman" w:hAnsi="Times New Roman" w:cs="Times New Roman"/>
                <w:sz w:val="24"/>
                <w:szCs w:val="24"/>
              </w:rPr>
              <w:t xml:space="preserve">a, īstenojot projektu, šo noteikumu 9.1. apakšpunktā minēto iznākuma rādītāju vērtības, kuras plānotas projektā, netiek sasniegtas atbilstoši apstiprinātajam projekta iesniegumam, finansējuma saņēmējs atmaksā sadarbības iestādei </w:t>
            </w:r>
            <w:r>
              <w:rPr>
                <w:rFonts w:ascii="Times New Roman" w:hAnsi="Times New Roman" w:cs="Times New Roman"/>
                <w:sz w:val="24"/>
                <w:szCs w:val="24"/>
              </w:rPr>
              <w:t>ERAF</w:t>
            </w:r>
            <w:r w:rsidRPr="00B8721B">
              <w:rPr>
                <w:rFonts w:ascii="Times New Roman" w:hAnsi="Times New Roman" w:cs="Times New Roman"/>
                <w:sz w:val="24"/>
                <w:szCs w:val="24"/>
              </w:rPr>
              <w:t xml:space="preserve"> finansējumu:</w:t>
            </w:r>
          </w:p>
          <w:p w14:paraId="4C5C7F9B" w14:textId="0FEB17A7" w:rsidR="003E64EB" w:rsidRPr="00B8721B" w:rsidRDefault="003E64EB" w:rsidP="003E64EB">
            <w:pPr>
              <w:pStyle w:val="ListParagraph"/>
              <w:numPr>
                <w:ilvl w:val="0"/>
                <w:numId w:val="35"/>
              </w:numPr>
              <w:spacing w:line="240" w:lineRule="auto"/>
              <w:ind w:left="396" w:hanging="284"/>
              <w:jc w:val="both"/>
              <w:rPr>
                <w:rFonts w:ascii="Times New Roman" w:hAnsi="Times New Roman" w:cs="Times New Roman"/>
                <w:sz w:val="24"/>
                <w:szCs w:val="24"/>
              </w:rPr>
            </w:pPr>
            <w:r w:rsidRPr="00B8721B">
              <w:rPr>
                <w:rFonts w:ascii="Times New Roman" w:hAnsi="Times New Roman" w:cs="Times New Roman"/>
                <w:sz w:val="24"/>
                <w:szCs w:val="24"/>
              </w:rPr>
              <w:lastRenderedPageBreak/>
              <w:t>proporcionāli tā iznākuma rādītāja vērtībai, kura izpilde proporcionāli ir vismazākā, ja iznākuma rādītāja izpildes vērtība sasniegta 15–85 procentu (neieskaitot) apmērā:</w:t>
            </w:r>
          </w:p>
          <w:p w14:paraId="3B44EA13" w14:textId="0B7B2648" w:rsidR="003E64EB" w:rsidRPr="00B8721B" w:rsidRDefault="003E64EB" w:rsidP="003E64EB">
            <w:pPr>
              <w:pStyle w:val="ListParagraph"/>
              <w:spacing w:line="240" w:lineRule="auto"/>
              <w:ind w:left="821" w:hanging="101"/>
              <w:jc w:val="both"/>
              <w:rPr>
                <w:rFonts w:ascii="Times New Roman" w:hAnsi="Times New Roman" w:cs="Times New Roman"/>
                <w:sz w:val="24"/>
                <w:szCs w:val="24"/>
              </w:rPr>
            </w:pPr>
            <w:r>
              <w:rPr>
                <w:noProof/>
              </w:rPr>
              <w:drawing>
                <wp:inline distT="0" distB="0" distL="0" distR="0" wp14:anchorId="0E784F4F" wp14:editId="38873130">
                  <wp:extent cx="13811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1125" cy="409575"/>
                          </a:xfrm>
                          <a:prstGeom prst="rect">
                            <a:avLst/>
                          </a:prstGeom>
                        </pic:spPr>
                      </pic:pic>
                    </a:graphicData>
                  </a:graphic>
                </wp:inline>
              </w:drawing>
            </w:r>
          </w:p>
          <w:p w14:paraId="06565135" w14:textId="529A9333" w:rsidR="003E64EB" w:rsidRPr="00B8721B" w:rsidRDefault="003E64EB" w:rsidP="003E64EB">
            <w:pPr>
              <w:pStyle w:val="ListParagraph"/>
              <w:spacing w:line="240" w:lineRule="auto"/>
              <w:ind w:left="821" w:hanging="101"/>
              <w:jc w:val="both"/>
              <w:rPr>
                <w:rFonts w:ascii="Times New Roman" w:hAnsi="Times New Roman" w:cs="Times New Roman"/>
                <w:sz w:val="24"/>
                <w:szCs w:val="24"/>
              </w:rPr>
            </w:pPr>
            <w:r w:rsidRPr="00B8721B">
              <w:rPr>
                <w:rFonts w:ascii="Times New Roman" w:hAnsi="Times New Roman" w:cs="Times New Roman"/>
                <w:sz w:val="24"/>
                <w:szCs w:val="24"/>
              </w:rPr>
              <w:t xml:space="preserve">D – atmaksājamais </w:t>
            </w:r>
            <w:r w:rsidR="008217A0">
              <w:rPr>
                <w:rFonts w:ascii="Times New Roman" w:hAnsi="Times New Roman" w:cs="Times New Roman"/>
                <w:sz w:val="24"/>
                <w:szCs w:val="24"/>
              </w:rPr>
              <w:t>ERAF</w:t>
            </w:r>
            <w:r w:rsidRPr="00B8721B">
              <w:rPr>
                <w:rFonts w:ascii="Times New Roman" w:hAnsi="Times New Roman" w:cs="Times New Roman"/>
                <w:sz w:val="24"/>
                <w:szCs w:val="24"/>
              </w:rPr>
              <w:t xml:space="preserve"> finansējums (</w:t>
            </w:r>
            <w:r w:rsidRPr="00B8721B">
              <w:rPr>
                <w:rFonts w:ascii="Times New Roman" w:hAnsi="Times New Roman" w:cs="Times New Roman"/>
                <w:i/>
                <w:iCs/>
                <w:sz w:val="24"/>
                <w:szCs w:val="24"/>
              </w:rPr>
              <w:t>euro</w:t>
            </w:r>
            <w:r w:rsidRPr="00B8721B">
              <w:rPr>
                <w:rFonts w:ascii="Times New Roman" w:hAnsi="Times New Roman" w:cs="Times New Roman"/>
                <w:sz w:val="24"/>
                <w:szCs w:val="24"/>
              </w:rPr>
              <w:t>)</w:t>
            </w:r>
            <w:r>
              <w:rPr>
                <w:rFonts w:ascii="Times New Roman" w:hAnsi="Times New Roman" w:cs="Times New Roman"/>
                <w:sz w:val="24"/>
                <w:szCs w:val="24"/>
              </w:rPr>
              <w:t>,</w:t>
            </w:r>
          </w:p>
          <w:p w14:paraId="2653706F" w14:textId="0912F493" w:rsidR="003E64EB" w:rsidRPr="00B8721B" w:rsidRDefault="003E64EB" w:rsidP="003E64EB">
            <w:pPr>
              <w:pStyle w:val="ListParagraph"/>
              <w:spacing w:line="240" w:lineRule="auto"/>
              <w:ind w:left="821" w:hanging="101"/>
              <w:jc w:val="both"/>
              <w:rPr>
                <w:rFonts w:ascii="Times New Roman" w:hAnsi="Times New Roman" w:cs="Times New Roman"/>
                <w:sz w:val="24"/>
                <w:szCs w:val="24"/>
              </w:rPr>
            </w:pPr>
            <w:r w:rsidRPr="00B8721B">
              <w:rPr>
                <w:rFonts w:ascii="Times New Roman" w:hAnsi="Times New Roman" w:cs="Times New Roman"/>
                <w:sz w:val="24"/>
                <w:szCs w:val="24"/>
              </w:rPr>
              <w:t xml:space="preserve">C – projekta </w:t>
            </w:r>
            <w:r w:rsidR="008217A0">
              <w:rPr>
                <w:rFonts w:ascii="Times New Roman" w:hAnsi="Times New Roman" w:cs="Times New Roman"/>
                <w:sz w:val="24"/>
                <w:szCs w:val="24"/>
              </w:rPr>
              <w:t>ERAF</w:t>
            </w:r>
            <w:r w:rsidRPr="00B8721B">
              <w:rPr>
                <w:rFonts w:ascii="Times New Roman" w:hAnsi="Times New Roman" w:cs="Times New Roman"/>
                <w:sz w:val="24"/>
                <w:szCs w:val="24"/>
              </w:rPr>
              <w:t xml:space="preserve"> finansējums (</w:t>
            </w:r>
            <w:r w:rsidRPr="00B8721B">
              <w:rPr>
                <w:rFonts w:ascii="Times New Roman" w:hAnsi="Times New Roman" w:cs="Times New Roman"/>
                <w:i/>
                <w:iCs/>
                <w:sz w:val="24"/>
                <w:szCs w:val="24"/>
              </w:rPr>
              <w:t>euro</w:t>
            </w:r>
            <w:r w:rsidRPr="00B8721B">
              <w:rPr>
                <w:rFonts w:ascii="Times New Roman" w:hAnsi="Times New Roman" w:cs="Times New Roman"/>
                <w:sz w:val="24"/>
                <w:szCs w:val="24"/>
              </w:rPr>
              <w:t>)</w:t>
            </w:r>
            <w:r>
              <w:rPr>
                <w:rFonts w:ascii="Times New Roman" w:hAnsi="Times New Roman" w:cs="Times New Roman"/>
                <w:sz w:val="24"/>
                <w:szCs w:val="24"/>
              </w:rPr>
              <w:t>,</w:t>
            </w:r>
          </w:p>
          <w:p w14:paraId="11F78BE3" w14:textId="4015FFC6" w:rsidR="003E64EB" w:rsidRPr="00B8721B" w:rsidRDefault="003E64EB" w:rsidP="003E64EB">
            <w:pPr>
              <w:pStyle w:val="ListParagraph"/>
              <w:spacing w:line="240" w:lineRule="auto"/>
              <w:ind w:left="821" w:hanging="101"/>
              <w:jc w:val="both"/>
              <w:rPr>
                <w:rFonts w:ascii="Times New Roman" w:hAnsi="Times New Roman" w:cs="Times New Roman"/>
                <w:sz w:val="24"/>
                <w:szCs w:val="24"/>
              </w:rPr>
            </w:pPr>
            <w:r w:rsidRPr="00B8721B">
              <w:rPr>
                <w:rFonts w:ascii="Times New Roman" w:hAnsi="Times New Roman" w:cs="Times New Roman"/>
                <w:sz w:val="24"/>
                <w:szCs w:val="24"/>
              </w:rPr>
              <w:t>R</w:t>
            </w:r>
            <w:r w:rsidRPr="00B8721B">
              <w:rPr>
                <w:rFonts w:ascii="Times New Roman" w:hAnsi="Times New Roman" w:cs="Times New Roman"/>
                <w:sz w:val="24"/>
                <w:szCs w:val="24"/>
                <w:vertAlign w:val="subscript"/>
              </w:rPr>
              <w:t>F</w:t>
            </w:r>
            <w:r w:rsidRPr="00B8721B">
              <w:rPr>
                <w:rFonts w:ascii="Times New Roman" w:hAnsi="Times New Roman" w:cs="Times New Roman"/>
                <w:sz w:val="24"/>
                <w:szCs w:val="24"/>
              </w:rPr>
              <w:t xml:space="preserve"> – faktiskā projekta iznākuma rādītāja vērtība, kura izpilde proporcionāli ir vismazākā (ha, jaunizveidotas darba vietas vai </w:t>
            </w:r>
            <w:r w:rsidRPr="00B8721B">
              <w:rPr>
                <w:rFonts w:ascii="Times New Roman" w:hAnsi="Times New Roman" w:cs="Times New Roman"/>
                <w:i/>
                <w:iCs/>
                <w:sz w:val="24"/>
                <w:szCs w:val="24"/>
              </w:rPr>
              <w:t>euro</w:t>
            </w:r>
            <w:r w:rsidRPr="00B8721B">
              <w:rPr>
                <w:rFonts w:ascii="Times New Roman" w:hAnsi="Times New Roman" w:cs="Times New Roman"/>
                <w:sz w:val="24"/>
                <w:szCs w:val="24"/>
              </w:rPr>
              <w:t>)</w:t>
            </w:r>
            <w:r>
              <w:rPr>
                <w:rFonts w:ascii="Times New Roman" w:hAnsi="Times New Roman" w:cs="Times New Roman"/>
                <w:sz w:val="24"/>
                <w:szCs w:val="24"/>
              </w:rPr>
              <w:t>,</w:t>
            </w:r>
          </w:p>
          <w:p w14:paraId="7E1A7887" w14:textId="77777777" w:rsidR="003E64EB" w:rsidRPr="00B8721B" w:rsidRDefault="003E64EB" w:rsidP="003E64EB">
            <w:pPr>
              <w:pStyle w:val="ListParagraph"/>
              <w:spacing w:line="240" w:lineRule="auto"/>
              <w:ind w:left="821" w:hanging="101"/>
              <w:jc w:val="both"/>
              <w:rPr>
                <w:rFonts w:ascii="Times New Roman" w:hAnsi="Times New Roman" w:cs="Times New Roman"/>
                <w:sz w:val="24"/>
                <w:szCs w:val="24"/>
              </w:rPr>
            </w:pPr>
            <w:r w:rsidRPr="00B8721B">
              <w:rPr>
                <w:rFonts w:ascii="Times New Roman" w:hAnsi="Times New Roman" w:cs="Times New Roman"/>
                <w:sz w:val="24"/>
                <w:szCs w:val="24"/>
              </w:rPr>
              <w:t>R</w:t>
            </w:r>
            <w:r w:rsidRPr="00B8721B">
              <w:rPr>
                <w:rFonts w:ascii="Times New Roman" w:hAnsi="Times New Roman" w:cs="Times New Roman"/>
                <w:sz w:val="24"/>
                <w:szCs w:val="24"/>
                <w:vertAlign w:val="subscript"/>
              </w:rPr>
              <w:t>A</w:t>
            </w:r>
            <w:r w:rsidRPr="00B8721B">
              <w:rPr>
                <w:rFonts w:ascii="Times New Roman" w:hAnsi="Times New Roman" w:cs="Times New Roman"/>
                <w:sz w:val="24"/>
                <w:szCs w:val="24"/>
              </w:rPr>
              <w:t xml:space="preserve"> – apstiprinātā projekta iznākuma rādītāja vērtība, kura izpilde proporcionāli ir vismazākā (ha, jaunizveidotas darba vietas vai </w:t>
            </w:r>
            <w:r w:rsidRPr="00B8721B">
              <w:rPr>
                <w:rFonts w:ascii="Times New Roman" w:hAnsi="Times New Roman" w:cs="Times New Roman"/>
                <w:i/>
                <w:iCs/>
                <w:sz w:val="24"/>
                <w:szCs w:val="24"/>
              </w:rPr>
              <w:t>euro</w:t>
            </w:r>
            <w:r w:rsidRPr="00B8721B">
              <w:rPr>
                <w:rFonts w:ascii="Times New Roman" w:hAnsi="Times New Roman" w:cs="Times New Roman"/>
                <w:sz w:val="24"/>
                <w:szCs w:val="24"/>
              </w:rPr>
              <w:t>);</w:t>
            </w:r>
          </w:p>
          <w:p w14:paraId="3F0F6BC2" w14:textId="760F270C" w:rsidR="003E64EB" w:rsidRPr="00B8721B" w:rsidRDefault="003E64EB" w:rsidP="003E64EB">
            <w:pPr>
              <w:pStyle w:val="ListParagraph"/>
              <w:numPr>
                <w:ilvl w:val="0"/>
                <w:numId w:val="35"/>
              </w:numPr>
              <w:spacing w:line="240" w:lineRule="auto"/>
              <w:ind w:left="396" w:hanging="284"/>
              <w:jc w:val="both"/>
              <w:rPr>
                <w:rFonts w:ascii="Times New Roman" w:hAnsi="Times New Roman" w:cs="Times New Roman"/>
                <w:sz w:val="24"/>
                <w:szCs w:val="24"/>
              </w:rPr>
            </w:pPr>
            <w:r w:rsidRPr="00B8721B">
              <w:rPr>
                <w:rFonts w:ascii="Times New Roman" w:hAnsi="Times New Roman" w:cs="Times New Roman"/>
                <w:sz w:val="24"/>
                <w:szCs w:val="24"/>
              </w:rPr>
              <w:t>100 procentu apmērā, ja iznākuma rādītāju izpildes vērtība sasniegta 0–15 procentu (neieskaitot) apmērā.</w:t>
            </w:r>
          </w:p>
        </w:tc>
      </w:tr>
      <w:tr w:rsidR="003E64EB" w14:paraId="36AA8C55" w14:textId="77777777" w:rsidTr="003E64EB">
        <w:tc>
          <w:tcPr>
            <w:tcW w:w="562" w:type="dxa"/>
            <w:shd w:val="clear" w:color="auto" w:fill="F2F2F2" w:themeFill="background1" w:themeFillShade="F2"/>
          </w:tcPr>
          <w:p w14:paraId="5ACC8614" w14:textId="420185DE" w:rsidR="003E64EB" w:rsidRPr="00DC6BA1" w:rsidRDefault="003E64EB" w:rsidP="00787C06">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6428" w:type="dxa"/>
            <w:shd w:val="clear" w:color="auto" w:fill="F2F2F2" w:themeFill="background1" w:themeFillShade="F2"/>
          </w:tcPr>
          <w:p w14:paraId="69CF529E" w14:textId="7023FCED" w:rsidR="003E64EB" w:rsidRDefault="003E64EB" w:rsidP="00787C06">
            <w:pPr>
              <w:jc w:val="both"/>
              <w:rPr>
                <w:rFonts w:ascii="Times New Roman" w:hAnsi="Times New Roman" w:cs="Times New Roman"/>
                <w:sz w:val="24"/>
                <w:szCs w:val="24"/>
              </w:rPr>
            </w:pPr>
            <w:r w:rsidRPr="00DC6BA1">
              <w:rPr>
                <w:rFonts w:ascii="Times New Roman" w:hAnsi="Times New Roman" w:cs="Times New Roman"/>
                <w:sz w:val="24"/>
                <w:szCs w:val="24"/>
              </w:rPr>
              <w:t>Komersantu rakstiski apliecinājumi par interesi tika iegūti uz projekta idejas iesniegšanas brīdi (2021.gada aprīlī). Vai nepieciešama to atkārtota pieprasīšana?</w:t>
            </w:r>
          </w:p>
        </w:tc>
        <w:tc>
          <w:tcPr>
            <w:tcW w:w="6958" w:type="dxa"/>
            <w:shd w:val="clear" w:color="auto" w:fill="F2F2F2" w:themeFill="background1" w:themeFillShade="F2"/>
          </w:tcPr>
          <w:p w14:paraId="51A15E46" w14:textId="2DD13931" w:rsidR="003E64EB" w:rsidRDefault="003E64EB" w:rsidP="001565A8">
            <w:pPr>
              <w:jc w:val="both"/>
              <w:rPr>
                <w:rFonts w:ascii="Times New Roman" w:hAnsi="Times New Roman" w:cs="Times New Roman"/>
                <w:sz w:val="24"/>
                <w:szCs w:val="24"/>
              </w:rPr>
            </w:pPr>
            <w:r>
              <w:rPr>
                <w:rFonts w:ascii="Times New Roman" w:hAnsi="Times New Roman" w:cs="Times New Roman"/>
                <w:sz w:val="24"/>
                <w:szCs w:val="24"/>
              </w:rPr>
              <w:t xml:space="preserve">Komersantu apliecinājumi par interesi ir būtiski, lai pamatotu, ka viņu uzņēmējdarbības attīstībai ir nepieciešami projektā plānotie infrastruktūras objekti, un norādītu iznākuma rādītāju sasniegšanu konkrētā apmērā un laikā. Līdz ar to, ja kopš projekta idejas iesniegšanas brīža nekas nav būtiski mainījies, komersantu apliecinājumi var būt tie paši. Vienlaikus ņemot vērā, ka komersantu apliecinājumiem ir jauna forma, t.i., tajos ir norāde par </w:t>
            </w:r>
            <w:r w:rsidR="008217A0">
              <w:rPr>
                <w:rFonts w:ascii="Times New Roman" w:hAnsi="Times New Roman" w:cs="Times New Roman"/>
                <w:sz w:val="24"/>
                <w:szCs w:val="24"/>
              </w:rPr>
              <w:t xml:space="preserve">SAMP </w:t>
            </w:r>
            <w:r>
              <w:rPr>
                <w:rFonts w:ascii="Times New Roman" w:hAnsi="Times New Roman" w:cs="Times New Roman"/>
                <w:sz w:val="24"/>
                <w:szCs w:val="24"/>
              </w:rPr>
              <w:t>13.1.3.3.</w:t>
            </w:r>
            <w:r w:rsidR="008217A0">
              <w:rPr>
                <w:rFonts w:ascii="Times New Roman" w:hAnsi="Times New Roman" w:cs="Times New Roman"/>
                <w:sz w:val="24"/>
                <w:szCs w:val="24"/>
              </w:rPr>
              <w:t>,</w:t>
            </w:r>
            <w:r>
              <w:rPr>
                <w:rFonts w:ascii="Times New Roman" w:hAnsi="Times New Roman" w:cs="Times New Roman"/>
                <w:sz w:val="24"/>
                <w:szCs w:val="24"/>
              </w:rPr>
              <w:t xml:space="preserve"> aicinām izmantot jaunās komersantu apliecinājuma par interesi formas,</w:t>
            </w:r>
            <w:r w:rsidR="008217A0">
              <w:rPr>
                <w:rFonts w:ascii="Times New Roman" w:hAnsi="Times New Roman" w:cs="Times New Roman"/>
                <w:sz w:val="24"/>
                <w:szCs w:val="24"/>
              </w:rPr>
              <w:t xml:space="preserve"> kas</w:t>
            </w:r>
            <w:r>
              <w:rPr>
                <w:rFonts w:ascii="Times New Roman" w:hAnsi="Times New Roman" w:cs="Times New Roman"/>
                <w:sz w:val="24"/>
                <w:szCs w:val="24"/>
              </w:rPr>
              <w:t xml:space="preserve"> pieejamas atlases nolikuma</w:t>
            </w:r>
            <w:r w:rsidR="008217A0">
              <w:rPr>
                <w:rFonts w:ascii="Times New Roman" w:hAnsi="Times New Roman" w:cs="Times New Roman"/>
                <w:sz w:val="24"/>
                <w:szCs w:val="24"/>
              </w:rPr>
              <w:t xml:space="preserve"> pielikumā</w:t>
            </w:r>
            <w:r>
              <w:rPr>
                <w:rFonts w:ascii="Times New Roman" w:hAnsi="Times New Roman" w:cs="Times New Roman"/>
                <w:sz w:val="24"/>
                <w:szCs w:val="24"/>
              </w:rPr>
              <w:t xml:space="preserve">. </w:t>
            </w:r>
          </w:p>
        </w:tc>
      </w:tr>
      <w:tr w:rsidR="003E64EB" w14:paraId="2C298EB5" w14:textId="77777777" w:rsidTr="003E64EB">
        <w:tc>
          <w:tcPr>
            <w:tcW w:w="562" w:type="dxa"/>
          </w:tcPr>
          <w:p w14:paraId="0DBFA628" w14:textId="4DEFF403" w:rsidR="003E64EB" w:rsidRPr="00DC6BA1" w:rsidRDefault="003E64EB" w:rsidP="00787C06">
            <w:pPr>
              <w:jc w:val="both"/>
              <w:rPr>
                <w:rFonts w:ascii="Times New Roman" w:hAnsi="Times New Roman" w:cs="Times New Roman"/>
                <w:sz w:val="24"/>
                <w:szCs w:val="24"/>
              </w:rPr>
            </w:pPr>
            <w:r>
              <w:rPr>
                <w:rFonts w:ascii="Times New Roman" w:hAnsi="Times New Roman" w:cs="Times New Roman"/>
                <w:sz w:val="24"/>
                <w:szCs w:val="24"/>
              </w:rPr>
              <w:t>12.</w:t>
            </w:r>
          </w:p>
        </w:tc>
        <w:tc>
          <w:tcPr>
            <w:tcW w:w="6428" w:type="dxa"/>
            <w:shd w:val="clear" w:color="auto" w:fill="auto"/>
          </w:tcPr>
          <w:p w14:paraId="47D657BE" w14:textId="59C05F0D" w:rsidR="003E64EB" w:rsidRDefault="003E64EB" w:rsidP="00787C06">
            <w:pPr>
              <w:jc w:val="both"/>
              <w:rPr>
                <w:rFonts w:ascii="Times New Roman" w:hAnsi="Times New Roman" w:cs="Times New Roman"/>
                <w:sz w:val="24"/>
                <w:szCs w:val="24"/>
              </w:rPr>
            </w:pPr>
            <w:r w:rsidRPr="00DC6BA1">
              <w:rPr>
                <w:rFonts w:ascii="Times New Roman" w:hAnsi="Times New Roman" w:cs="Times New Roman"/>
                <w:sz w:val="24"/>
                <w:szCs w:val="24"/>
              </w:rPr>
              <w:t xml:space="preserve">MK noteikumi nosaka, ka iznākuma rādītāji jāsasniedz līdz 2023.gada 31.decembrim. Projekta ietvaros plānots būvēt gan ražošanas ēku (atklāta izsole), kā arī publisko infrastruktūru/ stāvlaukumu. Ēkas būvniecības gala termiņš (2023.g.4.cet.) sakritīs ar MK noteikumos noteikto iznākuma rādītāju gala termiņu. Uz projekta iesniegšanas brīdi tiks iesniegti komersantu apliecinājumi, ka projekta iecere ir veicinājusi komersanta attīstību un ka tas laika periodā - divu kalendāra gadu laikā pirms </w:t>
            </w:r>
            <w:r w:rsidRPr="00DC6BA1">
              <w:rPr>
                <w:rFonts w:ascii="Times New Roman" w:hAnsi="Times New Roman" w:cs="Times New Roman"/>
                <w:sz w:val="24"/>
                <w:szCs w:val="24"/>
              </w:rPr>
              <w:lastRenderedPageBreak/>
              <w:t>projekta iesnieguma iesniegšanas līdz 2023.g.31.decembrim nodrošinās jaunu darba vietu radīšanu. Vai vēsturiskie darba vietu rādītāji var tik attiecināti? Vai ir pieļaujama situācija, ka komersants darbību ēkā uzsāks pēc 2023.g</w:t>
            </w:r>
            <w:r w:rsidR="008217A0">
              <w:rPr>
                <w:rFonts w:ascii="Times New Roman" w:hAnsi="Times New Roman" w:cs="Times New Roman"/>
                <w:sz w:val="24"/>
                <w:szCs w:val="24"/>
              </w:rPr>
              <w:t xml:space="preserve">ada </w:t>
            </w:r>
            <w:r w:rsidRPr="00DC6BA1">
              <w:rPr>
                <w:rFonts w:ascii="Times New Roman" w:hAnsi="Times New Roman" w:cs="Times New Roman"/>
                <w:sz w:val="24"/>
                <w:szCs w:val="24"/>
              </w:rPr>
              <w:t>31.decembra, tādējādi deklarējot iznākuma rādītājus, kas sasniegti līdz 2023.g</w:t>
            </w:r>
            <w:r w:rsidR="008217A0">
              <w:rPr>
                <w:rFonts w:ascii="Times New Roman" w:hAnsi="Times New Roman" w:cs="Times New Roman"/>
                <w:sz w:val="24"/>
                <w:szCs w:val="24"/>
              </w:rPr>
              <w:t>ada</w:t>
            </w:r>
            <w:r w:rsidRPr="00DC6BA1">
              <w:rPr>
                <w:rFonts w:ascii="Times New Roman" w:hAnsi="Times New Roman" w:cs="Times New Roman"/>
                <w:sz w:val="24"/>
                <w:szCs w:val="24"/>
              </w:rPr>
              <w:t xml:space="preserve"> 31.decembrim.</w:t>
            </w:r>
          </w:p>
        </w:tc>
        <w:tc>
          <w:tcPr>
            <w:tcW w:w="6958" w:type="dxa"/>
            <w:shd w:val="clear" w:color="auto" w:fill="auto"/>
          </w:tcPr>
          <w:p w14:paraId="5DB7B993" w14:textId="6F697334" w:rsidR="003E64EB" w:rsidRDefault="003E64EB" w:rsidP="00787C06">
            <w:pPr>
              <w:jc w:val="both"/>
              <w:rPr>
                <w:rFonts w:ascii="Times New Roman" w:hAnsi="Times New Roman" w:cs="Times New Roman"/>
                <w:sz w:val="24"/>
                <w:szCs w:val="24"/>
              </w:rPr>
            </w:pPr>
            <w:r>
              <w:rPr>
                <w:rFonts w:ascii="Times New Roman" w:hAnsi="Times New Roman" w:cs="Times New Roman"/>
                <w:sz w:val="24"/>
                <w:szCs w:val="24"/>
              </w:rPr>
              <w:lastRenderedPageBreak/>
              <w:t>Ja projektā plānota</w:t>
            </w:r>
            <w:r w:rsidRPr="00EA65CD">
              <w:rPr>
                <w:rFonts w:ascii="Times New Roman" w:hAnsi="Times New Roman" w:cs="Times New Roman"/>
                <w:sz w:val="24"/>
                <w:szCs w:val="24"/>
              </w:rPr>
              <w:t xml:space="preserve"> tādas infrastruktūras</w:t>
            </w:r>
            <w:r>
              <w:rPr>
                <w:rFonts w:ascii="Times New Roman" w:hAnsi="Times New Roman" w:cs="Times New Roman"/>
                <w:sz w:val="24"/>
                <w:szCs w:val="24"/>
              </w:rPr>
              <w:t xml:space="preserve"> (ražošanas ēka)</w:t>
            </w:r>
            <w:r w:rsidRPr="00EA65CD">
              <w:rPr>
                <w:rFonts w:ascii="Times New Roman" w:hAnsi="Times New Roman" w:cs="Times New Roman"/>
                <w:sz w:val="24"/>
                <w:szCs w:val="24"/>
              </w:rPr>
              <w:t xml:space="preserve"> izbūve, kas atbilst valsts atbalsta mērķim:  Ieguldījumu atbalsts vietējai infrastruktūrai (Regulas Nr.651/2014 56.pants) un darbībām  piemērojami MK noteikumu Nr.645  19.2.2.apakšpunkta nosacījumi</w:t>
            </w:r>
            <w:r>
              <w:rPr>
                <w:rFonts w:ascii="Times New Roman" w:hAnsi="Times New Roman" w:cs="Times New Roman"/>
                <w:sz w:val="24"/>
                <w:szCs w:val="24"/>
              </w:rPr>
              <w:t>,</w:t>
            </w:r>
            <w:r>
              <w:t xml:space="preserve"> </w:t>
            </w:r>
            <w:r w:rsidRPr="00091A6A">
              <w:rPr>
                <w:rFonts w:ascii="Times New Roman" w:hAnsi="Times New Roman" w:cs="Times New Roman"/>
                <w:sz w:val="24"/>
                <w:szCs w:val="24"/>
              </w:rPr>
              <w:t>jaunradītās darba vietas var tikt ieskaitītas no brīža, kad komersants uzsāk savu komercdarbību projekta īstenošanas vietā un ir pieņēmis darbā darbinieku konkrētajā komersanta adresē</w:t>
            </w:r>
            <w:r>
              <w:rPr>
                <w:rFonts w:ascii="Times New Roman" w:hAnsi="Times New Roman" w:cs="Times New Roman"/>
                <w:sz w:val="24"/>
                <w:szCs w:val="24"/>
              </w:rPr>
              <w:t xml:space="preserve">. </w:t>
            </w:r>
          </w:p>
          <w:p w14:paraId="15273CBE" w14:textId="5BCCCBAA" w:rsidR="003E64EB" w:rsidRDefault="003E64EB" w:rsidP="00787C06">
            <w:pPr>
              <w:jc w:val="both"/>
              <w:rPr>
                <w:rFonts w:ascii="Times New Roman" w:hAnsi="Times New Roman" w:cs="Times New Roman"/>
                <w:sz w:val="24"/>
                <w:szCs w:val="24"/>
              </w:rPr>
            </w:pPr>
            <w:r w:rsidRPr="00280E08">
              <w:rPr>
                <w:rFonts w:ascii="Times New Roman" w:hAnsi="Times New Roman" w:cs="Times New Roman"/>
                <w:sz w:val="24"/>
                <w:szCs w:val="24"/>
              </w:rPr>
              <w:lastRenderedPageBreak/>
              <w:t>Attiecībā uz publisko infrastruktūru</w:t>
            </w:r>
            <w:r>
              <w:rPr>
                <w:rFonts w:ascii="Times New Roman" w:hAnsi="Times New Roman" w:cs="Times New Roman"/>
                <w:sz w:val="24"/>
                <w:szCs w:val="24"/>
              </w:rPr>
              <w:t xml:space="preserve">/stāvlaukumu, kurām piemērojami MK noteikumu Nr.645 19.1.1.apakšpunkta nosacījumi, </w:t>
            </w:r>
            <w:r w:rsidRPr="00280E08">
              <w:rPr>
                <w:rFonts w:ascii="Times New Roman" w:hAnsi="Times New Roman" w:cs="Times New Roman"/>
                <w:sz w:val="24"/>
                <w:szCs w:val="24"/>
              </w:rPr>
              <w:t>var tikt ieskaitītas</w:t>
            </w:r>
            <w:r>
              <w:rPr>
                <w:rFonts w:ascii="Times New Roman" w:hAnsi="Times New Roman" w:cs="Times New Roman"/>
                <w:sz w:val="24"/>
                <w:szCs w:val="24"/>
              </w:rPr>
              <w:t xml:space="preserve"> arī tādas</w:t>
            </w:r>
            <w:r w:rsidRPr="00280E08">
              <w:rPr>
                <w:rFonts w:ascii="Times New Roman" w:hAnsi="Times New Roman" w:cs="Times New Roman"/>
                <w:sz w:val="24"/>
                <w:szCs w:val="24"/>
              </w:rPr>
              <w:t xml:space="preserve"> darba vietas, </w:t>
            </w:r>
            <w:r>
              <w:rPr>
                <w:rFonts w:ascii="Times New Roman" w:hAnsi="Times New Roman" w:cs="Times New Roman"/>
                <w:sz w:val="24"/>
                <w:szCs w:val="24"/>
              </w:rPr>
              <w:t>kas</w:t>
            </w:r>
            <w:r w:rsidRPr="00280E08">
              <w:rPr>
                <w:rFonts w:ascii="Times New Roman" w:hAnsi="Times New Roman" w:cs="Times New Roman"/>
                <w:sz w:val="24"/>
                <w:szCs w:val="24"/>
              </w:rPr>
              <w:t xml:space="preserve"> radušās divu kalendāro gadu laikā pirms projekta iesnieguma iesniegšanas.</w:t>
            </w:r>
          </w:p>
          <w:p w14:paraId="04F0FD14" w14:textId="1011FA4A" w:rsidR="003E64EB" w:rsidRDefault="003E64EB" w:rsidP="00787C06">
            <w:pPr>
              <w:jc w:val="both"/>
              <w:rPr>
                <w:rFonts w:ascii="Times New Roman" w:hAnsi="Times New Roman" w:cs="Times New Roman"/>
                <w:sz w:val="24"/>
                <w:szCs w:val="24"/>
              </w:rPr>
            </w:pPr>
            <w:r>
              <w:rPr>
                <w:rFonts w:ascii="Times New Roman" w:hAnsi="Times New Roman" w:cs="Times New Roman"/>
                <w:sz w:val="24"/>
                <w:szCs w:val="24"/>
              </w:rPr>
              <w:t xml:space="preserve">Atbilstoši MK </w:t>
            </w:r>
            <w:r w:rsidRPr="00DC6BA1">
              <w:rPr>
                <w:rFonts w:ascii="Times New Roman" w:hAnsi="Times New Roman" w:cs="Times New Roman"/>
                <w:sz w:val="24"/>
                <w:szCs w:val="24"/>
              </w:rPr>
              <w:t>noteikum</w:t>
            </w:r>
            <w:r>
              <w:rPr>
                <w:rFonts w:ascii="Times New Roman" w:hAnsi="Times New Roman" w:cs="Times New Roman"/>
                <w:sz w:val="24"/>
                <w:szCs w:val="24"/>
              </w:rPr>
              <w:t xml:space="preserve">u Nr.645  9.1.apakšpunktā noteiktajam, </w:t>
            </w:r>
            <w:r w:rsidRPr="00DC6BA1">
              <w:rPr>
                <w:rFonts w:ascii="Times New Roman" w:hAnsi="Times New Roman" w:cs="Times New Roman"/>
                <w:sz w:val="24"/>
                <w:szCs w:val="24"/>
              </w:rPr>
              <w:t xml:space="preserve"> iznākuma rādītāji jāsasniedz līdz 2023. gada 31. </w:t>
            </w:r>
            <w:r>
              <w:rPr>
                <w:rFonts w:ascii="Times New Roman" w:hAnsi="Times New Roman" w:cs="Times New Roman"/>
                <w:sz w:val="24"/>
                <w:szCs w:val="24"/>
              </w:rPr>
              <w:t>d</w:t>
            </w:r>
            <w:r w:rsidRPr="00DC6BA1">
              <w:rPr>
                <w:rFonts w:ascii="Times New Roman" w:hAnsi="Times New Roman" w:cs="Times New Roman"/>
                <w:sz w:val="24"/>
                <w:szCs w:val="24"/>
              </w:rPr>
              <w:t>ecembrim</w:t>
            </w:r>
            <w:r>
              <w:rPr>
                <w:rFonts w:ascii="Times New Roman" w:hAnsi="Times New Roman" w:cs="Times New Roman"/>
                <w:sz w:val="24"/>
                <w:szCs w:val="24"/>
              </w:rPr>
              <w:t>, līdz ar to nav pieļaujama situācija, ka iznākuma rādītāju vērtības var tikt radītas pēc 2023.gada 31.decembra</w:t>
            </w:r>
            <w:r w:rsidRPr="00DC6BA1">
              <w:rPr>
                <w:rFonts w:ascii="Times New Roman" w:hAnsi="Times New Roman" w:cs="Times New Roman"/>
                <w:sz w:val="24"/>
                <w:szCs w:val="24"/>
              </w:rPr>
              <w:t>.</w:t>
            </w:r>
          </w:p>
        </w:tc>
      </w:tr>
      <w:tr w:rsidR="003E64EB" w14:paraId="60F59274" w14:textId="77777777" w:rsidTr="003E64EB">
        <w:tc>
          <w:tcPr>
            <w:tcW w:w="562" w:type="dxa"/>
            <w:shd w:val="clear" w:color="auto" w:fill="F2F2F2" w:themeFill="background1" w:themeFillShade="F2"/>
          </w:tcPr>
          <w:p w14:paraId="5A9B9AC7" w14:textId="44323395" w:rsidR="003E64EB" w:rsidRPr="00DC6BA1" w:rsidRDefault="003E64EB" w:rsidP="00787C06">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6428" w:type="dxa"/>
            <w:shd w:val="clear" w:color="auto" w:fill="F2F2F2" w:themeFill="background1" w:themeFillShade="F2"/>
          </w:tcPr>
          <w:p w14:paraId="6D8096E8" w14:textId="2951AB10" w:rsidR="003E64EB" w:rsidRDefault="003E64EB" w:rsidP="00787C06">
            <w:pPr>
              <w:jc w:val="both"/>
              <w:rPr>
                <w:rFonts w:ascii="Times New Roman" w:hAnsi="Times New Roman" w:cs="Times New Roman"/>
                <w:sz w:val="24"/>
                <w:szCs w:val="24"/>
              </w:rPr>
            </w:pPr>
            <w:r w:rsidRPr="00DC6BA1">
              <w:rPr>
                <w:rFonts w:ascii="Times New Roman" w:hAnsi="Times New Roman" w:cs="Times New Roman"/>
                <w:sz w:val="24"/>
                <w:szCs w:val="24"/>
              </w:rPr>
              <w:t>Vai būtu pieļaujama atkāpe deklarēt sasniedzamos iznākuma rādītājus pēc  2023.gada 31.decembra?</w:t>
            </w:r>
          </w:p>
        </w:tc>
        <w:tc>
          <w:tcPr>
            <w:tcW w:w="6958" w:type="dxa"/>
            <w:shd w:val="clear" w:color="auto" w:fill="F2F2F2" w:themeFill="background1" w:themeFillShade="F2"/>
          </w:tcPr>
          <w:p w14:paraId="6A73CF9C" w14:textId="6D051828" w:rsidR="003E64EB" w:rsidRDefault="008217A0" w:rsidP="00787C06">
            <w:pPr>
              <w:jc w:val="both"/>
              <w:rPr>
                <w:rFonts w:ascii="Times New Roman" w:hAnsi="Times New Roman" w:cs="Times New Roman"/>
                <w:sz w:val="24"/>
                <w:szCs w:val="24"/>
              </w:rPr>
            </w:pPr>
            <w:r>
              <w:rPr>
                <w:rFonts w:ascii="Times New Roman" w:hAnsi="Times New Roman" w:cs="Times New Roman"/>
                <w:sz w:val="24"/>
                <w:szCs w:val="24"/>
              </w:rPr>
              <w:t>Atbilstoši</w:t>
            </w:r>
            <w:r w:rsidR="00F96A1B">
              <w:rPr>
                <w:rFonts w:ascii="Times New Roman" w:hAnsi="Times New Roman" w:cs="Times New Roman"/>
                <w:sz w:val="24"/>
                <w:szCs w:val="24"/>
              </w:rPr>
              <w:t xml:space="preserve"> </w:t>
            </w:r>
            <w:r w:rsidR="003E64EB">
              <w:rPr>
                <w:rFonts w:ascii="Times New Roman" w:hAnsi="Times New Roman" w:cs="Times New Roman"/>
                <w:sz w:val="24"/>
                <w:szCs w:val="24"/>
              </w:rPr>
              <w:t xml:space="preserve">MK </w:t>
            </w:r>
            <w:r w:rsidR="003E64EB" w:rsidRPr="00DC6BA1">
              <w:rPr>
                <w:rFonts w:ascii="Times New Roman" w:hAnsi="Times New Roman" w:cs="Times New Roman"/>
                <w:sz w:val="24"/>
                <w:szCs w:val="24"/>
              </w:rPr>
              <w:t>noteikum</w:t>
            </w:r>
            <w:r w:rsidR="003E64EB">
              <w:rPr>
                <w:rFonts w:ascii="Times New Roman" w:hAnsi="Times New Roman" w:cs="Times New Roman"/>
                <w:sz w:val="24"/>
                <w:szCs w:val="24"/>
              </w:rPr>
              <w:t xml:space="preserve">u Nr.645  9.1.apakšpunktā noteiktajam, </w:t>
            </w:r>
            <w:r w:rsidR="003E64EB" w:rsidRPr="00DC6BA1">
              <w:rPr>
                <w:rFonts w:ascii="Times New Roman" w:hAnsi="Times New Roman" w:cs="Times New Roman"/>
                <w:sz w:val="24"/>
                <w:szCs w:val="24"/>
              </w:rPr>
              <w:t xml:space="preserve"> iznākuma rādītāji jāsasniedz līdz 2023.gada 31.</w:t>
            </w:r>
            <w:r w:rsidR="003E64EB">
              <w:rPr>
                <w:rFonts w:ascii="Times New Roman" w:hAnsi="Times New Roman" w:cs="Times New Roman"/>
                <w:sz w:val="24"/>
                <w:szCs w:val="24"/>
              </w:rPr>
              <w:t>d</w:t>
            </w:r>
            <w:r w:rsidR="003E64EB" w:rsidRPr="00DC6BA1">
              <w:rPr>
                <w:rFonts w:ascii="Times New Roman" w:hAnsi="Times New Roman" w:cs="Times New Roman"/>
                <w:sz w:val="24"/>
                <w:szCs w:val="24"/>
              </w:rPr>
              <w:t>ecembrim</w:t>
            </w:r>
            <w:r w:rsidR="003E64EB">
              <w:rPr>
                <w:rFonts w:ascii="Times New Roman" w:hAnsi="Times New Roman" w:cs="Times New Roman"/>
                <w:sz w:val="24"/>
                <w:szCs w:val="24"/>
              </w:rPr>
              <w:t>, līdz ar to nav pieļaujama situācija, ka iznākuma rādītāju vērtības var tikt radītas pēc 2023.gada 31.decembra</w:t>
            </w:r>
            <w:r>
              <w:rPr>
                <w:rFonts w:ascii="Times New Roman" w:hAnsi="Times New Roman" w:cs="Times New Roman"/>
                <w:sz w:val="24"/>
                <w:szCs w:val="24"/>
              </w:rPr>
              <w:t>.</w:t>
            </w:r>
          </w:p>
          <w:p w14:paraId="792A25B5" w14:textId="4AC23D17" w:rsidR="003E64EB" w:rsidRPr="00AE1F40" w:rsidRDefault="008217A0" w:rsidP="00787C06">
            <w:pPr>
              <w:jc w:val="both"/>
              <w:rPr>
                <w:rFonts w:ascii="Times New Roman" w:hAnsi="Times New Roman" w:cs="Times New Roman"/>
                <w:sz w:val="24"/>
                <w:szCs w:val="24"/>
              </w:rPr>
            </w:pPr>
            <w:r>
              <w:rPr>
                <w:rFonts w:ascii="Times New Roman" w:hAnsi="Times New Roman" w:cs="Times New Roman"/>
                <w:sz w:val="24"/>
                <w:szCs w:val="24"/>
              </w:rPr>
              <w:t>Papildu v</w:t>
            </w:r>
            <w:r w:rsidR="003E64EB">
              <w:rPr>
                <w:rFonts w:ascii="Times New Roman" w:hAnsi="Times New Roman" w:cs="Times New Roman"/>
                <w:sz w:val="24"/>
                <w:szCs w:val="24"/>
              </w:rPr>
              <w:t>ēršam uzmanību</w:t>
            </w:r>
            <w:r w:rsidR="003E64EB" w:rsidRPr="00693CC5">
              <w:rPr>
                <w:rFonts w:ascii="Times New Roman" w:hAnsi="Times New Roman" w:cs="Times New Roman"/>
                <w:sz w:val="24"/>
                <w:szCs w:val="24"/>
              </w:rPr>
              <w:t xml:space="preserve"> MK noteik</w:t>
            </w:r>
            <w:r w:rsidR="003E64EB">
              <w:rPr>
                <w:rFonts w:ascii="Times New Roman" w:hAnsi="Times New Roman" w:cs="Times New Roman"/>
                <w:sz w:val="24"/>
                <w:szCs w:val="24"/>
              </w:rPr>
              <w:t>umu Nr.645 grozījumu</w:t>
            </w:r>
            <w:r>
              <w:rPr>
                <w:rStyle w:val="FootnoteReference"/>
                <w:rFonts w:ascii="Times New Roman" w:hAnsi="Times New Roman" w:cs="Times New Roman"/>
                <w:sz w:val="24"/>
                <w:szCs w:val="24"/>
              </w:rPr>
              <w:footnoteReference w:id="1"/>
            </w:r>
            <w:r w:rsidR="003E64EB">
              <w:rPr>
                <w:rFonts w:ascii="Times New Roman" w:hAnsi="Times New Roman" w:cs="Times New Roman"/>
                <w:sz w:val="24"/>
                <w:szCs w:val="24"/>
              </w:rPr>
              <w:t xml:space="preserve"> </w:t>
            </w:r>
            <w:r w:rsidR="00577C7E" w:rsidRPr="00577C7E">
              <w:rPr>
                <w:rFonts w:ascii="Times New Roman" w:hAnsi="Times New Roman" w:cs="Times New Roman"/>
                <w:sz w:val="24"/>
                <w:szCs w:val="24"/>
              </w:rPr>
              <w:t>sākotnējās ietekmes novērtējuma ziņojum</w:t>
            </w:r>
            <w:r w:rsidR="00577C7E">
              <w:rPr>
                <w:rFonts w:ascii="Times New Roman" w:hAnsi="Times New Roman" w:cs="Times New Roman"/>
                <w:sz w:val="24"/>
                <w:szCs w:val="24"/>
              </w:rPr>
              <w:t>ā (</w:t>
            </w:r>
            <w:r w:rsidR="003E64EB">
              <w:rPr>
                <w:rFonts w:ascii="Times New Roman" w:hAnsi="Times New Roman" w:cs="Times New Roman"/>
                <w:sz w:val="24"/>
                <w:szCs w:val="24"/>
              </w:rPr>
              <w:t>anotācijā</w:t>
            </w:r>
            <w:r w:rsidR="00577C7E">
              <w:rPr>
                <w:rFonts w:ascii="Times New Roman" w:hAnsi="Times New Roman" w:cs="Times New Roman"/>
                <w:sz w:val="24"/>
                <w:szCs w:val="24"/>
              </w:rPr>
              <w:t>)</w:t>
            </w:r>
            <w:r w:rsidR="003E64EB">
              <w:rPr>
                <w:rFonts w:ascii="Times New Roman" w:hAnsi="Times New Roman" w:cs="Times New Roman"/>
                <w:sz w:val="24"/>
                <w:szCs w:val="24"/>
              </w:rPr>
              <w:t xml:space="preserve"> norādītajam: </w:t>
            </w:r>
            <w:r w:rsidR="003E64EB" w:rsidRPr="00693CC5">
              <w:rPr>
                <w:rFonts w:ascii="Times New Roman" w:hAnsi="Times New Roman" w:cs="Times New Roman"/>
                <w:sz w:val="24"/>
                <w:szCs w:val="24"/>
              </w:rPr>
              <w:t xml:space="preserve"> </w:t>
            </w:r>
            <w:r w:rsidR="003E64EB">
              <w:rPr>
                <w:rFonts w:ascii="Times New Roman" w:hAnsi="Times New Roman" w:cs="Times New Roman"/>
                <w:sz w:val="24"/>
                <w:szCs w:val="24"/>
              </w:rPr>
              <w:t>“</w:t>
            </w:r>
            <w:r w:rsidR="003E64EB" w:rsidRPr="00693CC5">
              <w:rPr>
                <w:rFonts w:ascii="Times New Roman" w:hAnsi="Times New Roman" w:cs="Times New Roman"/>
                <w:sz w:val="24"/>
                <w:szCs w:val="24"/>
              </w:rPr>
              <w:t xml:space="preserve">ņemot vērā nepieciešamību nekavējoties palīdzēt pašvaldībām mazināt ar valstī izsludināto ārkārtējo situāciju saistīto negatīvo ietekmi uz tautsaimniecību, piesaistot papildu REACT-EU finansējumu 24 165 500 </w:t>
            </w:r>
            <w:r w:rsidR="003E64EB" w:rsidRPr="00693CC5">
              <w:rPr>
                <w:rFonts w:ascii="Times New Roman" w:hAnsi="Times New Roman" w:cs="Times New Roman"/>
                <w:i/>
                <w:iCs/>
                <w:sz w:val="24"/>
                <w:szCs w:val="24"/>
              </w:rPr>
              <w:t>euro</w:t>
            </w:r>
            <w:r w:rsidR="003E64EB" w:rsidRPr="00693CC5">
              <w:rPr>
                <w:rFonts w:ascii="Times New Roman" w:hAnsi="Times New Roman" w:cs="Times New Roman"/>
                <w:sz w:val="24"/>
                <w:szCs w:val="24"/>
              </w:rPr>
              <w:t xml:space="preserve"> apmērā, kas paredzēts, lai veicinātu ekonomikas straujāku atgūšanos no Covid-19 izraisītās krīzes. </w:t>
            </w:r>
            <w:r w:rsidR="003E64EB" w:rsidRPr="00F21039">
              <w:rPr>
                <w:rFonts w:ascii="Times New Roman" w:hAnsi="Times New Roman" w:cs="Times New Roman"/>
                <w:b/>
                <w:bCs/>
                <w:sz w:val="24"/>
                <w:szCs w:val="24"/>
              </w:rPr>
              <w:t>REACT-EU finansējuma izmantošanai ir ierobežots laiks – projektu īstenošanu un projektos plānoto rādītāju sasniegšanu nepieciešams pabeigt līdz 2023.gada beigām</w:t>
            </w:r>
            <w:r w:rsidR="003E64EB" w:rsidRPr="00693CC5">
              <w:rPr>
                <w:rFonts w:ascii="Times New Roman" w:hAnsi="Times New Roman" w:cs="Times New Roman"/>
                <w:sz w:val="24"/>
                <w:szCs w:val="24"/>
              </w:rPr>
              <w:t>.</w:t>
            </w:r>
            <w:r w:rsidR="003E64EB">
              <w:rPr>
                <w:rFonts w:ascii="Times New Roman" w:hAnsi="Times New Roman" w:cs="Times New Roman"/>
                <w:sz w:val="24"/>
                <w:szCs w:val="24"/>
              </w:rPr>
              <w:t>”</w:t>
            </w:r>
            <w:r w:rsidR="00577C7E">
              <w:rPr>
                <w:rFonts w:ascii="Times New Roman" w:hAnsi="Times New Roman" w:cs="Times New Roman"/>
                <w:sz w:val="24"/>
                <w:szCs w:val="24"/>
              </w:rPr>
              <w:t>.</w:t>
            </w:r>
          </w:p>
        </w:tc>
      </w:tr>
      <w:tr w:rsidR="003E64EB" w14:paraId="036578CD" w14:textId="77777777" w:rsidTr="003E64EB">
        <w:tc>
          <w:tcPr>
            <w:tcW w:w="562" w:type="dxa"/>
          </w:tcPr>
          <w:p w14:paraId="39DB9151" w14:textId="47AA43C3" w:rsidR="003E64EB" w:rsidRPr="00EA65CD" w:rsidRDefault="003E64EB" w:rsidP="00EA65CD">
            <w:pPr>
              <w:jc w:val="both"/>
              <w:rPr>
                <w:rFonts w:ascii="Times New Roman" w:hAnsi="Times New Roman" w:cs="Times New Roman"/>
                <w:sz w:val="24"/>
                <w:szCs w:val="24"/>
              </w:rPr>
            </w:pPr>
            <w:r>
              <w:rPr>
                <w:rFonts w:ascii="Times New Roman" w:hAnsi="Times New Roman" w:cs="Times New Roman"/>
                <w:sz w:val="24"/>
                <w:szCs w:val="24"/>
              </w:rPr>
              <w:t>14.</w:t>
            </w:r>
          </w:p>
        </w:tc>
        <w:tc>
          <w:tcPr>
            <w:tcW w:w="6428" w:type="dxa"/>
            <w:shd w:val="clear" w:color="auto" w:fill="auto"/>
          </w:tcPr>
          <w:p w14:paraId="58D21637" w14:textId="1E8D9D63" w:rsidR="003E64EB" w:rsidRPr="00EA65CD" w:rsidRDefault="003E64EB" w:rsidP="00EA65CD">
            <w:pPr>
              <w:jc w:val="both"/>
              <w:rPr>
                <w:rFonts w:ascii="Times New Roman" w:hAnsi="Times New Roman" w:cs="Times New Roman"/>
                <w:sz w:val="24"/>
                <w:szCs w:val="24"/>
              </w:rPr>
            </w:pPr>
            <w:r w:rsidRPr="00EA65CD">
              <w:rPr>
                <w:rFonts w:ascii="Times New Roman" w:hAnsi="Times New Roman" w:cs="Times New Roman"/>
                <w:sz w:val="24"/>
                <w:szCs w:val="24"/>
              </w:rPr>
              <w:t xml:space="preserve">Publiskajā telpā vairākkārt ir izskanējusi informācija, ka pašvaldība plāno būvēt ražošanas ēku konkrētā adresē. Komersanti, zinot, ka šāda ražošanas ēka būs, attīsta un paplašina savu komercdarbību, t.sk. rada darba vietas. </w:t>
            </w:r>
          </w:p>
          <w:p w14:paraId="5C035CEC" w14:textId="0EAB312C" w:rsidR="003E64EB" w:rsidRDefault="003E64EB" w:rsidP="00EA65CD">
            <w:pPr>
              <w:jc w:val="both"/>
              <w:rPr>
                <w:rFonts w:ascii="Times New Roman" w:hAnsi="Times New Roman" w:cs="Times New Roman"/>
                <w:sz w:val="24"/>
                <w:szCs w:val="24"/>
              </w:rPr>
            </w:pPr>
            <w:r w:rsidRPr="00EA65CD">
              <w:rPr>
                <w:rFonts w:ascii="Times New Roman" w:hAnsi="Times New Roman" w:cs="Times New Roman"/>
                <w:sz w:val="24"/>
                <w:szCs w:val="24"/>
              </w:rPr>
              <w:t>Komersantam, piedaloties atklātā izsolē, par kādu laika periodu varēs attiecināt jaunradītās darba vietas?</w:t>
            </w:r>
          </w:p>
        </w:tc>
        <w:tc>
          <w:tcPr>
            <w:tcW w:w="6958" w:type="dxa"/>
            <w:shd w:val="clear" w:color="auto" w:fill="auto"/>
          </w:tcPr>
          <w:p w14:paraId="0810B110" w14:textId="4F72C1FA" w:rsidR="003E64EB" w:rsidRPr="00D53536" w:rsidRDefault="003E64EB" w:rsidP="00F74BA6">
            <w:pPr>
              <w:jc w:val="both"/>
              <w:rPr>
                <w:rFonts w:ascii="Times New Roman" w:hAnsi="Times New Roman" w:cs="Times New Roman"/>
                <w:sz w:val="24"/>
                <w:szCs w:val="24"/>
              </w:rPr>
            </w:pPr>
            <w:r>
              <w:rPr>
                <w:rFonts w:ascii="Times New Roman" w:hAnsi="Times New Roman" w:cs="Times New Roman"/>
                <w:sz w:val="24"/>
                <w:szCs w:val="24"/>
              </w:rPr>
              <w:t xml:space="preserve">Ja </w:t>
            </w:r>
            <w:r w:rsidRPr="00EA65CD">
              <w:rPr>
                <w:rFonts w:ascii="Times New Roman" w:hAnsi="Times New Roman" w:cs="Times New Roman"/>
                <w:sz w:val="24"/>
                <w:szCs w:val="24"/>
              </w:rPr>
              <w:t>projektā plānota tādas infrastruktūras izbūve, kas atbilst valsts atbalsta mērķim:  Ieguldījumu atbalsts vietējai infrastruktūrai (Regulas Nr.651/2014 56.pants) un darbībām  piemērojami MK noteikumu Nr.645  19.2.2.apakšpunkta nosacījumi, projekta iesniegumā ir norādāmas iznākuma rādītāju nākotnes vērtības, t.i., darba vietām ir jābūt jaunradītām projekta īstenošanas vietā. Attiecīgi komersant</w:t>
            </w:r>
            <w:r>
              <w:rPr>
                <w:rFonts w:ascii="Times New Roman" w:hAnsi="Times New Roman" w:cs="Times New Roman"/>
                <w:sz w:val="24"/>
                <w:szCs w:val="24"/>
              </w:rPr>
              <w:t>a</w:t>
            </w:r>
            <w:r w:rsidRPr="00EA65CD">
              <w:rPr>
                <w:rFonts w:ascii="Times New Roman" w:hAnsi="Times New Roman" w:cs="Times New Roman"/>
                <w:sz w:val="24"/>
                <w:szCs w:val="24"/>
              </w:rPr>
              <w:t xml:space="preserve">, kas </w:t>
            </w:r>
            <w:r w:rsidRPr="00EA65CD">
              <w:rPr>
                <w:rFonts w:ascii="Times New Roman" w:hAnsi="Times New Roman" w:cs="Times New Roman"/>
                <w:sz w:val="24"/>
                <w:szCs w:val="24"/>
              </w:rPr>
              <w:lastRenderedPageBreak/>
              <w:t xml:space="preserve">piedalīsies </w:t>
            </w:r>
            <w:r w:rsidR="00577C7E" w:rsidRPr="00577C7E">
              <w:rPr>
                <w:rFonts w:ascii="Times New Roman" w:hAnsi="Times New Roman" w:cs="Times New Roman"/>
                <w:sz w:val="24"/>
                <w:szCs w:val="24"/>
              </w:rPr>
              <w:t>publiskas nomas tiesību izsol</w:t>
            </w:r>
            <w:r w:rsidR="00577C7E">
              <w:rPr>
                <w:rFonts w:ascii="Times New Roman" w:hAnsi="Times New Roman" w:cs="Times New Roman"/>
                <w:sz w:val="24"/>
                <w:szCs w:val="24"/>
              </w:rPr>
              <w:t>ē</w:t>
            </w:r>
            <w:r w:rsidR="00577C7E" w:rsidRPr="00577C7E">
              <w:rPr>
                <w:rFonts w:ascii="Times New Roman" w:hAnsi="Times New Roman" w:cs="Times New Roman"/>
                <w:sz w:val="24"/>
                <w:szCs w:val="24"/>
              </w:rPr>
              <w:t xml:space="preserve"> </w:t>
            </w:r>
            <w:r w:rsidRPr="00EA65CD">
              <w:rPr>
                <w:rFonts w:ascii="Times New Roman" w:hAnsi="Times New Roman" w:cs="Times New Roman"/>
                <w:sz w:val="24"/>
                <w:szCs w:val="24"/>
              </w:rPr>
              <w:t>un iegūs nomas tiesības par tirgus cenu uz iznomājamo infrastruktūru,</w:t>
            </w:r>
            <w:r>
              <w:rPr>
                <w:rFonts w:ascii="Times New Roman" w:hAnsi="Times New Roman" w:cs="Times New Roman"/>
                <w:sz w:val="24"/>
                <w:szCs w:val="24"/>
              </w:rPr>
              <w:t xml:space="preserve"> </w:t>
            </w:r>
            <w:r w:rsidRPr="00F74BA6">
              <w:rPr>
                <w:rFonts w:ascii="Times New Roman" w:hAnsi="Times New Roman" w:cs="Times New Roman"/>
                <w:sz w:val="24"/>
                <w:szCs w:val="24"/>
              </w:rPr>
              <w:t>jaunradītās darba vietas var tikt ieskaitītas no brīža, kad komersants uzsāk savu komercdarbību projekta īstenošanas vietā un ir pieņēmis darbā darbinieku konkrētajā komersanta adresē</w:t>
            </w:r>
            <w:r w:rsidR="00F96A1B">
              <w:rPr>
                <w:rFonts w:ascii="Times New Roman" w:hAnsi="Times New Roman" w:cs="Times New Roman"/>
                <w:sz w:val="24"/>
                <w:szCs w:val="24"/>
              </w:rPr>
              <w:t> </w:t>
            </w:r>
            <w:r w:rsidRPr="00F74BA6">
              <w:rPr>
                <w:rFonts w:ascii="Times New Roman" w:hAnsi="Times New Roman" w:cs="Times New Roman"/>
                <w:sz w:val="24"/>
                <w:szCs w:val="24"/>
              </w:rPr>
              <w:t>- projekta ietvaros izbūvētajā ēkā.</w:t>
            </w:r>
            <w:r>
              <w:rPr>
                <w:rFonts w:ascii="Times New Roman" w:hAnsi="Times New Roman" w:cs="Times New Roman"/>
                <w:sz w:val="24"/>
                <w:szCs w:val="24"/>
              </w:rPr>
              <w:t xml:space="preserve"> Tādas darba vietas, kas radušās iepriekš, piemēram, komersanta citā struktūrvienībā, nevar tikt pārceltas un ieskaitītas. </w:t>
            </w:r>
          </w:p>
        </w:tc>
      </w:tr>
      <w:tr w:rsidR="003E64EB" w14:paraId="5A1E1283" w14:textId="77777777" w:rsidTr="003E64EB">
        <w:tc>
          <w:tcPr>
            <w:tcW w:w="562" w:type="dxa"/>
            <w:shd w:val="clear" w:color="auto" w:fill="F2F2F2" w:themeFill="background1" w:themeFillShade="F2"/>
          </w:tcPr>
          <w:p w14:paraId="14647D05" w14:textId="2D70504D" w:rsidR="003E64EB" w:rsidRPr="00EA65CD" w:rsidRDefault="003E64EB" w:rsidP="00EA65CD">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6428" w:type="dxa"/>
            <w:shd w:val="clear" w:color="auto" w:fill="F2F2F2" w:themeFill="background1" w:themeFillShade="F2"/>
          </w:tcPr>
          <w:p w14:paraId="6E1CE61B" w14:textId="5415864B" w:rsidR="003E64EB" w:rsidRPr="00EA65CD" w:rsidRDefault="003E64EB" w:rsidP="00EA65CD">
            <w:pPr>
              <w:jc w:val="both"/>
              <w:rPr>
                <w:rFonts w:ascii="Times New Roman" w:hAnsi="Times New Roman" w:cs="Times New Roman"/>
                <w:sz w:val="24"/>
                <w:szCs w:val="24"/>
              </w:rPr>
            </w:pPr>
            <w:r w:rsidRPr="003E64EB">
              <w:rPr>
                <w:rFonts w:ascii="Times New Roman" w:hAnsi="Times New Roman" w:cs="Times New Roman"/>
                <w:sz w:val="24"/>
                <w:szCs w:val="24"/>
              </w:rPr>
              <w:t>Vai tiks publicēta precizēta IIA metodika?</w:t>
            </w:r>
          </w:p>
        </w:tc>
        <w:tc>
          <w:tcPr>
            <w:tcW w:w="6958" w:type="dxa"/>
            <w:shd w:val="clear" w:color="auto" w:fill="F2F2F2" w:themeFill="background1" w:themeFillShade="F2"/>
          </w:tcPr>
          <w:p w14:paraId="566D9D55" w14:textId="2EFDF9A9" w:rsidR="003E64EB" w:rsidRDefault="00BA71EF" w:rsidP="00F74BA6">
            <w:pPr>
              <w:jc w:val="both"/>
              <w:rPr>
                <w:rFonts w:ascii="Times New Roman" w:hAnsi="Times New Roman" w:cs="Times New Roman"/>
                <w:sz w:val="24"/>
                <w:szCs w:val="24"/>
              </w:rPr>
            </w:pPr>
            <w:r>
              <w:rPr>
                <w:rFonts w:ascii="Times New Roman" w:hAnsi="Times New Roman" w:cs="Times New Roman"/>
                <w:sz w:val="24"/>
                <w:szCs w:val="24"/>
              </w:rPr>
              <w:t>IIA metodika ir izstrādes procesā. Vienlaikus aicinām iepazīties ar  a</w:t>
            </w:r>
            <w:r w:rsidRPr="00BA71EF">
              <w:rPr>
                <w:rFonts w:ascii="Times New Roman" w:hAnsi="Times New Roman" w:cs="Times New Roman"/>
                <w:sz w:val="24"/>
                <w:szCs w:val="24"/>
              </w:rPr>
              <w:t>ktualizēt</w:t>
            </w:r>
            <w:r>
              <w:rPr>
                <w:rFonts w:ascii="Times New Roman" w:hAnsi="Times New Roman" w:cs="Times New Roman"/>
                <w:sz w:val="24"/>
                <w:szCs w:val="24"/>
              </w:rPr>
              <w:t>o</w:t>
            </w:r>
            <w:r w:rsidRPr="00BA71EF">
              <w:rPr>
                <w:rFonts w:ascii="Times New Roman" w:hAnsi="Times New Roman" w:cs="Times New Roman"/>
                <w:sz w:val="24"/>
                <w:szCs w:val="24"/>
              </w:rPr>
              <w:t xml:space="preserve"> IIA modeli</w:t>
            </w:r>
            <w:r>
              <w:rPr>
                <w:rFonts w:ascii="Times New Roman" w:hAnsi="Times New Roman" w:cs="Times New Roman"/>
                <w:sz w:val="24"/>
                <w:szCs w:val="24"/>
              </w:rPr>
              <w:t>, kā arī aizpildītu paraugu,</w:t>
            </w:r>
            <w:r w:rsidRPr="00BA71EF">
              <w:rPr>
                <w:rFonts w:ascii="Times New Roman" w:hAnsi="Times New Roman" w:cs="Times New Roman"/>
                <w:sz w:val="24"/>
                <w:szCs w:val="24"/>
              </w:rPr>
              <w:t xml:space="preserve"> </w:t>
            </w:r>
            <w:r w:rsidR="00577C7E">
              <w:rPr>
                <w:rFonts w:ascii="Times New Roman" w:hAnsi="Times New Roman" w:cs="Times New Roman"/>
                <w:sz w:val="24"/>
                <w:szCs w:val="24"/>
              </w:rPr>
              <w:t xml:space="preserve">kas </w:t>
            </w:r>
            <w:r w:rsidRPr="00BA71EF">
              <w:rPr>
                <w:rFonts w:ascii="Times New Roman" w:hAnsi="Times New Roman" w:cs="Times New Roman"/>
                <w:sz w:val="24"/>
                <w:szCs w:val="24"/>
              </w:rPr>
              <w:t>pieejam</w:t>
            </w:r>
            <w:r>
              <w:rPr>
                <w:rFonts w:ascii="Times New Roman" w:hAnsi="Times New Roman" w:cs="Times New Roman"/>
                <w:sz w:val="24"/>
                <w:szCs w:val="24"/>
              </w:rPr>
              <w:t>i</w:t>
            </w:r>
            <w:r w:rsidRPr="00BA71EF">
              <w:rPr>
                <w:rFonts w:ascii="Times New Roman" w:hAnsi="Times New Roman" w:cs="Times New Roman"/>
                <w:sz w:val="24"/>
                <w:szCs w:val="24"/>
              </w:rPr>
              <w:t xml:space="preserve"> VARAM tīmekļa vietnē: </w:t>
            </w:r>
            <w:hyperlink r:id="rId12" w:history="1">
              <w:r w:rsidRPr="00392F1D">
                <w:rPr>
                  <w:rStyle w:val="Hyperlink"/>
                  <w:sz w:val="24"/>
                  <w:szCs w:val="24"/>
                </w:rPr>
                <w:t>https://www.varam.gov.lv/lv/izmaksu-un-ieguvumu-analizes-metodika-0</w:t>
              </w:r>
            </w:hyperlink>
          </w:p>
          <w:p w14:paraId="65B489F9" w14:textId="50301D31" w:rsidR="00BA71EF" w:rsidRDefault="00BA71EF" w:rsidP="00F74BA6">
            <w:pPr>
              <w:jc w:val="both"/>
              <w:rPr>
                <w:rFonts w:ascii="Times New Roman" w:hAnsi="Times New Roman" w:cs="Times New Roman"/>
                <w:sz w:val="24"/>
                <w:szCs w:val="24"/>
              </w:rPr>
            </w:pPr>
            <w:r>
              <w:rPr>
                <w:rFonts w:ascii="Times New Roman" w:hAnsi="Times New Roman" w:cs="Times New Roman"/>
                <w:sz w:val="24"/>
                <w:szCs w:val="24"/>
              </w:rPr>
              <w:t xml:space="preserve">Pa IIA aizpildīšanu aicinām konsultēties ar CLFA </w:t>
            </w:r>
            <w:r w:rsidR="00577C7E">
              <w:rPr>
                <w:rFonts w:ascii="Times New Roman" w:hAnsi="Times New Roman" w:cs="Times New Roman"/>
                <w:sz w:val="24"/>
                <w:szCs w:val="24"/>
              </w:rPr>
              <w:t>darbiniekiem</w:t>
            </w:r>
            <w:r>
              <w:rPr>
                <w:rFonts w:ascii="Times New Roman" w:hAnsi="Times New Roman" w:cs="Times New Roman"/>
                <w:sz w:val="24"/>
                <w:szCs w:val="24"/>
              </w:rPr>
              <w:t xml:space="preserve">, kuru kontakti norādīti </w:t>
            </w:r>
            <w:r w:rsidR="00577C7E">
              <w:rPr>
                <w:rFonts w:ascii="Times New Roman" w:hAnsi="Times New Roman" w:cs="Times New Roman"/>
                <w:sz w:val="24"/>
                <w:szCs w:val="24"/>
              </w:rPr>
              <w:t xml:space="preserve">gan </w:t>
            </w:r>
            <w:r>
              <w:rPr>
                <w:rFonts w:ascii="Times New Roman" w:hAnsi="Times New Roman" w:cs="Times New Roman"/>
                <w:sz w:val="24"/>
                <w:szCs w:val="24"/>
              </w:rPr>
              <w:t xml:space="preserve"> VARAM saitē, </w:t>
            </w:r>
            <w:r w:rsidR="00577C7E">
              <w:rPr>
                <w:rFonts w:ascii="Times New Roman" w:hAnsi="Times New Roman" w:cs="Times New Roman"/>
                <w:sz w:val="24"/>
                <w:szCs w:val="24"/>
              </w:rPr>
              <w:t>gan</w:t>
            </w:r>
            <w:r>
              <w:rPr>
                <w:rFonts w:ascii="Times New Roman" w:hAnsi="Times New Roman" w:cs="Times New Roman"/>
                <w:sz w:val="24"/>
                <w:szCs w:val="24"/>
              </w:rPr>
              <w:t xml:space="preserve"> pie izsludinātā </w:t>
            </w:r>
            <w:hyperlink r:id="rId13" w:history="1">
              <w:r w:rsidRPr="00BA71EF">
                <w:rPr>
                  <w:rStyle w:val="Hyperlink"/>
                  <w:sz w:val="24"/>
                  <w:szCs w:val="24"/>
                </w:rPr>
                <w:t>atlases nolikuma</w:t>
              </w:r>
            </w:hyperlink>
            <w:r w:rsidR="00F20082">
              <w:rPr>
                <w:rStyle w:val="Hyperlink"/>
                <w:sz w:val="24"/>
                <w:szCs w:val="24"/>
              </w:rPr>
              <w:t>.</w:t>
            </w:r>
          </w:p>
        </w:tc>
      </w:tr>
      <w:tr w:rsidR="006D7D22" w14:paraId="069FAC1D" w14:textId="77777777" w:rsidTr="006D7D22">
        <w:tc>
          <w:tcPr>
            <w:tcW w:w="562" w:type="dxa"/>
            <w:shd w:val="clear" w:color="auto" w:fill="auto"/>
          </w:tcPr>
          <w:p w14:paraId="7E00D2A9" w14:textId="03719CEA" w:rsidR="006D7D22" w:rsidRDefault="006D7D22" w:rsidP="00EA65CD">
            <w:pPr>
              <w:jc w:val="both"/>
              <w:rPr>
                <w:rFonts w:ascii="Times New Roman" w:hAnsi="Times New Roman" w:cs="Times New Roman"/>
                <w:sz w:val="24"/>
                <w:szCs w:val="24"/>
              </w:rPr>
            </w:pPr>
            <w:r>
              <w:rPr>
                <w:rFonts w:ascii="Times New Roman" w:hAnsi="Times New Roman" w:cs="Times New Roman"/>
                <w:sz w:val="24"/>
                <w:szCs w:val="24"/>
              </w:rPr>
              <w:t>16.</w:t>
            </w:r>
          </w:p>
        </w:tc>
        <w:tc>
          <w:tcPr>
            <w:tcW w:w="6428" w:type="dxa"/>
            <w:shd w:val="clear" w:color="auto" w:fill="auto"/>
          </w:tcPr>
          <w:p w14:paraId="6FB80EE8" w14:textId="77777777" w:rsidR="006D7D22" w:rsidRPr="006D7D22" w:rsidRDefault="006D7D22" w:rsidP="006D7D22">
            <w:pPr>
              <w:jc w:val="both"/>
              <w:rPr>
                <w:rFonts w:ascii="Times New Roman" w:hAnsi="Times New Roman" w:cs="Times New Roman"/>
                <w:sz w:val="24"/>
                <w:szCs w:val="24"/>
              </w:rPr>
            </w:pPr>
            <w:r w:rsidRPr="006D7D22">
              <w:rPr>
                <w:rFonts w:ascii="Times New Roman" w:hAnsi="Times New Roman" w:cs="Times New Roman"/>
                <w:sz w:val="24"/>
                <w:szCs w:val="24"/>
              </w:rPr>
              <w:t>Ņemot vērā to, ka laika grafiks projekta īstenošanai ir ierobežots līdz 2023.gada 31.decembrim un lai nodrošinātu visu nepieciešamo darbību veikšanu maksimāli ātrāk, izslēgtu riskus ar iespējamu kavējumu rādītāju sasniegšanai, vai ir pieļaujams organizēt atklātu izsoli komersanta piesaistei šādā projekta attīstības stadijā:</w:t>
            </w:r>
          </w:p>
          <w:p w14:paraId="0320DF0F" w14:textId="77777777" w:rsidR="006D7D22" w:rsidRPr="006D7D22" w:rsidRDefault="006D7D22" w:rsidP="006D7D22">
            <w:pPr>
              <w:jc w:val="both"/>
              <w:rPr>
                <w:rFonts w:ascii="Times New Roman" w:hAnsi="Times New Roman" w:cs="Times New Roman"/>
                <w:sz w:val="24"/>
                <w:szCs w:val="24"/>
              </w:rPr>
            </w:pPr>
            <w:r w:rsidRPr="006D7D22">
              <w:rPr>
                <w:rFonts w:ascii="Times New Roman" w:hAnsi="Times New Roman" w:cs="Times New Roman"/>
                <w:sz w:val="24"/>
                <w:szCs w:val="24"/>
              </w:rPr>
              <w:t>1)            projekta iesniegums ir iesniegts vērtēšanai CFLA;</w:t>
            </w:r>
          </w:p>
          <w:p w14:paraId="009EA385" w14:textId="1F19F0D5" w:rsidR="006D7D22" w:rsidRPr="003E64EB" w:rsidRDefault="006D7D22" w:rsidP="006D7D22">
            <w:pPr>
              <w:jc w:val="both"/>
              <w:rPr>
                <w:rFonts w:ascii="Times New Roman" w:hAnsi="Times New Roman" w:cs="Times New Roman"/>
                <w:sz w:val="24"/>
                <w:szCs w:val="24"/>
              </w:rPr>
            </w:pPr>
            <w:r w:rsidRPr="006D7D22">
              <w:rPr>
                <w:rFonts w:ascii="Times New Roman" w:hAnsi="Times New Roman" w:cs="Times New Roman"/>
                <w:sz w:val="24"/>
                <w:szCs w:val="24"/>
              </w:rPr>
              <w:t>2)            būvprojekts ir izstrādāts minimālā sastāvā.</w:t>
            </w:r>
          </w:p>
        </w:tc>
        <w:tc>
          <w:tcPr>
            <w:tcW w:w="6958" w:type="dxa"/>
            <w:shd w:val="clear" w:color="auto" w:fill="auto"/>
          </w:tcPr>
          <w:p w14:paraId="4D2E0880" w14:textId="0A66586D" w:rsidR="00577C7E" w:rsidRDefault="006D7D22" w:rsidP="00F74BA6">
            <w:pPr>
              <w:jc w:val="both"/>
              <w:rPr>
                <w:rFonts w:ascii="Times New Roman" w:hAnsi="Times New Roman" w:cs="Times New Roman"/>
                <w:sz w:val="24"/>
                <w:szCs w:val="24"/>
              </w:rPr>
            </w:pPr>
            <w:r>
              <w:rPr>
                <w:rFonts w:ascii="Times New Roman" w:hAnsi="Times New Roman" w:cs="Times New Roman"/>
                <w:sz w:val="24"/>
                <w:szCs w:val="24"/>
              </w:rPr>
              <w:t xml:space="preserve">Ja </w:t>
            </w:r>
            <w:r w:rsidRPr="006D7D22">
              <w:rPr>
                <w:rFonts w:ascii="Times New Roman" w:hAnsi="Times New Roman" w:cs="Times New Roman"/>
                <w:sz w:val="24"/>
                <w:szCs w:val="24"/>
              </w:rPr>
              <w:t xml:space="preserve">projektā plānota tādas infrastruktūras izbūve, </w:t>
            </w:r>
            <w:r>
              <w:rPr>
                <w:rFonts w:ascii="Times New Roman" w:hAnsi="Times New Roman" w:cs="Times New Roman"/>
                <w:sz w:val="24"/>
                <w:szCs w:val="24"/>
              </w:rPr>
              <w:t xml:space="preserve">kuru </w:t>
            </w:r>
            <w:r w:rsidR="00577C7E">
              <w:rPr>
                <w:rFonts w:ascii="Times New Roman" w:hAnsi="Times New Roman" w:cs="Times New Roman"/>
                <w:sz w:val="24"/>
                <w:szCs w:val="24"/>
              </w:rPr>
              <w:t xml:space="preserve">komersantam </w:t>
            </w:r>
            <w:r>
              <w:rPr>
                <w:rFonts w:ascii="Times New Roman" w:hAnsi="Times New Roman" w:cs="Times New Roman"/>
                <w:sz w:val="24"/>
                <w:szCs w:val="24"/>
              </w:rPr>
              <w:t>plānots nodot nomā</w:t>
            </w:r>
            <w:r w:rsidRPr="006D7D22">
              <w:rPr>
                <w:rFonts w:ascii="Times New Roman" w:hAnsi="Times New Roman" w:cs="Times New Roman"/>
                <w:sz w:val="24"/>
                <w:szCs w:val="24"/>
              </w:rPr>
              <w:t xml:space="preserve"> </w:t>
            </w:r>
            <w:r>
              <w:rPr>
                <w:rFonts w:ascii="Times New Roman" w:hAnsi="Times New Roman" w:cs="Times New Roman"/>
                <w:sz w:val="24"/>
                <w:szCs w:val="24"/>
              </w:rPr>
              <w:t xml:space="preserve">publiskas </w:t>
            </w:r>
            <w:r w:rsidR="00577C7E">
              <w:rPr>
                <w:rFonts w:ascii="Times New Roman" w:hAnsi="Times New Roman" w:cs="Times New Roman"/>
                <w:sz w:val="24"/>
                <w:szCs w:val="24"/>
              </w:rPr>
              <w:t xml:space="preserve">nomas tiesību </w:t>
            </w:r>
            <w:r>
              <w:rPr>
                <w:rFonts w:ascii="Times New Roman" w:hAnsi="Times New Roman" w:cs="Times New Roman"/>
                <w:sz w:val="24"/>
                <w:szCs w:val="24"/>
              </w:rPr>
              <w:t xml:space="preserve">izsoles rezultātā, projekta iesniedzējs izsoli </w:t>
            </w:r>
            <w:r w:rsidR="00577C7E">
              <w:rPr>
                <w:rFonts w:ascii="Times New Roman" w:hAnsi="Times New Roman" w:cs="Times New Roman"/>
                <w:sz w:val="24"/>
                <w:szCs w:val="24"/>
              </w:rPr>
              <w:t>var organizēt projekta īstenošanas laikā (</w:t>
            </w:r>
            <w:r w:rsidR="00577C7E" w:rsidRPr="00577C7E">
              <w:rPr>
                <w:rFonts w:ascii="Times New Roman" w:hAnsi="Times New Roman" w:cs="Times New Roman"/>
                <w:sz w:val="24"/>
                <w:szCs w:val="24"/>
              </w:rPr>
              <w:t>pēc projekta iesnieguma iesniegšanas vērtēšanai), kad ir zināmas būvdarbu izmaksas (pēc iepirkuma par būvdarbu veikšanu un būvprojekta apstiprināšanas būvvaldē).</w:t>
            </w:r>
            <w:r w:rsidR="00F21039">
              <w:rPr>
                <w:rFonts w:ascii="Times New Roman" w:hAnsi="Times New Roman" w:cs="Times New Roman"/>
                <w:sz w:val="24"/>
                <w:szCs w:val="24"/>
              </w:rPr>
              <w:t xml:space="preserve"> </w:t>
            </w:r>
            <w:r w:rsidR="00F21039" w:rsidRPr="00F21039">
              <w:rPr>
                <w:rFonts w:ascii="Times New Roman" w:hAnsi="Times New Roman" w:cs="Times New Roman"/>
                <w:sz w:val="24"/>
                <w:szCs w:val="24"/>
              </w:rPr>
              <w:t>Līdz ar to projekta attīstības stadijā, kad ir būvprojekts minimālajā sastāvā, izsoli veikt nedrīkst.</w:t>
            </w:r>
          </w:p>
          <w:p w14:paraId="60F3DE2F" w14:textId="441CC049" w:rsidR="00471D58" w:rsidRPr="00F21039" w:rsidRDefault="00F21039" w:rsidP="00F21039">
            <w:pPr>
              <w:jc w:val="both"/>
              <w:rPr>
                <w:rFonts w:ascii="Times New Roman" w:hAnsi="Times New Roman" w:cs="Times New Roman"/>
                <w:sz w:val="24"/>
                <w:szCs w:val="24"/>
              </w:rPr>
            </w:pPr>
            <w:r>
              <w:rPr>
                <w:rFonts w:ascii="Times New Roman" w:hAnsi="Times New Roman" w:cs="Times New Roman"/>
                <w:sz w:val="24"/>
                <w:szCs w:val="24"/>
              </w:rPr>
              <w:t>T.sk. s</w:t>
            </w:r>
            <w:r w:rsidR="00577C7E">
              <w:rPr>
                <w:rFonts w:ascii="Times New Roman" w:hAnsi="Times New Roman" w:cs="Times New Roman"/>
                <w:sz w:val="24"/>
                <w:szCs w:val="24"/>
              </w:rPr>
              <w:t>katīt arī atbildi uz 2.jautājumu.</w:t>
            </w:r>
          </w:p>
        </w:tc>
      </w:tr>
    </w:tbl>
    <w:p w14:paraId="59A00F08" w14:textId="77777777" w:rsidR="00DB3665" w:rsidRDefault="00DB3665" w:rsidP="00AA55BC"/>
    <w:sectPr w:rsidR="00DB3665" w:rsidSect="00AE1F40">
      <w:headerReference w:type="default" r:id="rId14"/>
      <w:pgSz w:w="16838" w:h="11906" w:orient="landscape"/>
      <w:pgMar w:top="567" w:right="138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1CEA" w14:textId="77777777" w:rsidR="008E0F8A" w:rsidRDefault="008E0F8A" w:rsidP="008E0F8A">
      <w:pPr>
        <w:spacing w:after="0" w:line="240" w:lineRule="auto"/>
      </w:pPr>
      <w:r>
        <w:separator/>
      </w:r>
    </w:p>
  </w:endnote>
  <w:endnote w:type="continuationSeparator" w:id="0">
    <w:p w14:paraId="4C34E4CE" w14:textId="77777777" w:rsidR="008E0F8A" w:rsidRDefault="008E0F8A" w:rsidP="008E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F999" w14:textId="77777777" w:rsidR="008E0F8A" w:rsidRDefault="008E0F8A" w:rsidP="008E0F8A">
      <w:pPr>
        <w:spacing w:after="0" w:line="240" w:lineRule="auto"/>
      </w:pPr>
      <w:r>
        <w:separator/>
      </w:r>
    </w:p>
  </w:footnote>
  <w:footnote w:type="continuationSeparator" w:id="0">
    <w:p w14:paraId="0BA97996" w14:textId="77777777" w:rsidR="008E0F8A" w:rsidRDefault="008E0F8A" w:rsidP="008E0F8A">
      <w:pPr>
        <w:spacing w:after="0" w:line="240" w:lineRule="auto"/>
      </w:pPr>
      <w:r>
        <w:continuationSeparator/>
      </w:r>
    </w:p>
  </w:footnote>
  <w:footnote w:id="1">
    <w:p w14:paraId="61991C40" w14:textId="1D60D9A7" w:rsidR="008217A0" w:rsidRPr="00F21039" w:rsidRDefault="008217A0" w:rsidP="00F21039">
      <w:pPr>
        <w:pStyle w:val="FootnoteText"/>
        <w:jc w:val="both"/>
        <w:rPr>
          <w:rFonts w:ascii="Times New Roman" w:hAnsi="Times New Roman" w:cs="Times New Roman"/>
        </w:rPr>
      </w:pPr>
      <w:r w:rsidRPr="00F21039">
        <w:rPr>
          <w:rStyle w:val="FootnoteReference"/>
          <w:rFonts w:ascii="Times New Roman" w:hAnsi="Times New Roman" w:cs="Times New Roman"/>
        </w:rPr>
        <w:footnoteRef/>
      </w:r>
      <w:r w:rsidRPr="00F21039">
        <w:rPr>
          <w:rFonts w:ascii="Times New Roman" w:hAnsi="Times New Roman" w:cs="Times New Roman"/>
        </w:rPr>
        <w:t xml:space="preserve"> Ministru kabineta 2021. gada 14. septembra noteikumi Nr. 632 “Grozījumi Ministru kabineta 2015. gada 10. novembra noteikumos Nr. 645 </w:t>
      </w:r>
      <w:r>
        <w:rPr>
          <w:rFonts w:ascii="Times New Roman" w:hAnsi="Times New Roman" w:cs="Times New Roman"/>
        </w:rPr>
        <w:t>“</w:t>
      </w:r>
      <w:r w:rsidRPr="00F21039">
        <w:rPr>
          <w:rFonts w:ascii="Times New Roman" w:hAnsi="Times New Roman" w:cs="Times New Roman"/>
        </w:rPr>
        <w:t xml:space="preserve">Darbības programmas “Izaugsme un nodarbinātība” 5.6.2. specifiskā atbalsta mērķa </w:t>
      </w:r>
      <w:r>
        <w:rPr>
          <w:rFonts w:ascii="Times New Roman" w:hAnsi="Times New Roman" w:cs="Times New Roman"/>
        </w:rPr>
        <w:t>“</w:t>
      </w:r>
      <w:r w:rsidRPr="00F21039">
        <w:rPr>
          <w:rFonts w:ascii="Times New Roman" w:hAnsi="Times New Roman" w:cs="Times New Roman"/>
        </w:rPr>
        <w:t>Teritoriju revitalizācija, reģenerējot degradētās teritorijas atbilstoši pašvaldību integrētajām attīstības programmām</w:t>
      </w:r>
      <w:r>
        <w:rPr>
          <w:rFonts w:ascii="Times New Roman" w:hAnsi="Times New Roman" w:cs="Times New Roman"/>
        </w:rPr>
        <w:t>”</w:t>
      </w:r>
      <w:r w:rsidRPr="00F21039">
        <w:rPr>
          <w:rFonts w:ascii="Times New Roman" w:hAnsi="Times New Roman" w:cs="Times New Roman"/>
        </w:rPr>
        <w:t xml:space="preserve"> īstenošanas noteikumi”</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51399"/>
      <w:docPartObj>
        <w:docPartGallery w:val="Page Numbers (Top of Page)"/>
        <w:docPartUnique/>
      </w:docPartObj>
    </w:sdtPr>
    <w:sdtEndPr>
      <w:rPr>
        <w:rFonts w:ascii="Times New Roman" w:hAnsi="Times New Roman" w:cs="Times New Roman"/>
        <w:noProof/>
      </w:rPr>
    </w:sdtEndPr>
    <w:sdtContent>
      <w:p w14:paraId="7D761245" w14:textId="77777777" w:rsidR="00AE1F40" w:rsidRPr="00AE1F40" w:rsidRDefault="00AE1F40" w:rsidP="00AE1F40">
        <w:pPr>
          <w:pStyle w:val="Header"/>
          <w:jc w:val="center"/>
          <w:rPr>
            <w:rFonts w:ascii="Times New Roman" w:hAnsi="Times New Roman" w:cs="Times New Roman"/>
            <w:sz w:val="20"/>
            <w:szCs w:val="20"/>
          </w:rPr>
        </w:pPr>
        <w:r w:rsidRPr="00AE1F40">
          <w:rPr>
            <w:rFonts w:ascii="Times New Roman" w:hAnsi="Times New Roman" w:cs="Times New Roman"/>
            <w:sz w:val="20"/>
            <w:szCs w:val="20"/>
          </w:rPr>
          <w:fldChar w:fldCharType="begin"/>
        </w:r>
        <w:r w:rsidRPr="00AE1F40">
          <w:rPr>
            <w:rFonts w:ascii="Times New Roman" w:hAnsi="Times New Roman" w:cs="Times New Roman"/>
            <w:sz w:val="20"/>
            <w:szCs w:val="20"/>
          </w:rPr>
          <w:instrText xml:space="preserve"> PAGE   \* MERGEFORMAT </w:instrText>
        </w:r>
        <w:r w:rsidRPr="00AE1F40">
          <w:rPr>
            <w:rFonts w:ascii="Times New Roman" w:hAnsi="Times New Roman" w:cs="Times New Roman"/>
            <w:sz w:val="20"/>
            <w:szCs w:val="20"/>
          </w:rPr>
          <w:fldChar w:fldCharType="separate"/>
        </w:r>
        <w:r w:rsidRPr="00AE1F40">
          <w:rPr>
            <w:rFonts w:ascii="Times New Roman" w:hAnsi="Times New Roman" w:cs="Times New Roman"/>
            <w:noProof/>
            <w:sz w:val="20"/>
            <w:szCs w:val="20"/>
          </w:rPr>
          <w:t>2</w:t>
        </w:r>
        <w:r w:rsidRPr="00AE1F40">
          <w:rPr>
            <w:rFonts w:ascii="Times New Roman" w:hAnsi="Times New Roman" w:cs="Times New Roman"/>
            <w:noProof/>
            <w:sz w:val="20"/>
            <w:szCs w:val="20"/>
          </w:rPr>
          <w:fldChar w:fldCharType="end"/>
        </w:r>
      </w:p>
      <w:p w14:paraId="73C3B265" w14:textId="504EE362" w:rsidR="00AE1F40" w:rsidRPr="00AE1F40" w:rsidRDefault="00545511" w:rsidP="00AE1F40">
        <w:pPr>
          <w:pStyle w:val="Header"/>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992"/>
    <w:multiLevelType w:val="hybridMultilevel"/>
    <w:tmpl w:val="EDE07196"/>
    <w:lvl w:ilvl="0" w:tplc="C1B82EF6">
      <w:numFmt w:val="bullet"/>
      <w:lvlText w:val="-"/>
      <w:lvlJc w:val="left"/>
      <w:pPr>
        <w:ind w:left="735" w:hanging="735"/>
      </w:pPr>
      <w:rPr>
        <w:rFonts w:ascii="Times New Roman" w:eastAsiaTheme="minorHAns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125D2555"/>
    <w:multiLevelType w:val="hybridMultilevel"/>
    <w:tmpl w:val="A9324F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0D13DF"/>
    <w:multiLevelType w:val="hybridMultilevel"/>
    <w:tmpl w:val="193A1F8A"/>
    <w:lvl w:ilvl="0" w:tplc="8DBE4582">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546135"/>
    <w:multiLevelType w:val="hybridMultilevel"/>
    <w:tmpl w:val="2160C52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5DA763E"/>
    <w:multiLevelType w:val="hybridMultilevel"/>
    <w:tmpl w:val="D4A8DB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D623C4"/>
    <w:multiLevelType w:val="hybridMultilevel"/>
    <w:tmpl w:val="9E9C38DE"/>
    <w:lvl w:ilvl="0" w:tplc="C28035F4">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E06B5C"/>
    <w:multiLevelType w:val="hybridMultilevel"/>
    <w:tmpl w:val="028C31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097118"/>
    <w:multiLevelType w:val="hybridMultilevel"/>
    <w:tmpl w:val="2A80F3B4"/>
    <w:lvl w:ilvl="0" w:tplc="0426000F">
      <w:start w:val="3"/>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2FC13CF0"/>
    <w:multiLevelType w:val="hybridMultilevel"/>
    <w:tmpl w:val="B1C0A8EA"/>
    <w:lvl w:ilvl="0" w:tplc="4FC2488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3D1C2136"/>
    <w:multiLevelType w:val="hybridMultilevel"/>
    <w:tmpl w:val="7EC60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067EFF"/>
    <w:multiLevelType w:val="hybridMultilevel"/>
    <w:tmpl w:val="0F1E4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54F25FD"/>
    <w:multiLevelType w:val="hybridMultilevel"/>
    <w:tmpl w:val="D7E630C4"/>
    <w:lvl w:ilvl="0" w:tplc="106A1562">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EF7329"/>
    <w:multiLevelType w:val="hybridMultilevel"/>
    <w:tmpl w:val="73BC68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CAE053E"/>
    <w:multiLevelType w:val="hybridMultilevel"/>
    <w:tmpl w:val="9E2A3A5C"/>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4D0A5099"/>
    <w:multiLevelType w:val="hybridMultilevel"/>
    <w:tmpl w:val="2160C52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0422C7B"/>
    <w:multiLevelType w:val="hybridMultilevel"/>
    <w:tmpl w:val="8446E30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50E656E2"/>
    <w:multiLevelType w:val="hybridMultilevel"/>
    <w:tmpl w:val="E8AA7D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1C4171C"/>
    <w:multiLevelType w:val="hybridMultilevel"/>
    <w:tmpl w:val="796A78D2"/>
    <w:lvl w:ilvl="0" w:tplc="04260001">
      <w:start w:val="1"/>
      <w:numFmt w:val="bullet"/>
      <w:lvlText w:val=""/>
      <w:lvlJc w:val="left"/>
      <w:pPr>
        <w:ind w:left="720" w:hanging="360"/>
      </w:pPr>
      <w:rPr>
        <w:rFonts w:ascii="Symbol" w:hAnsi="Symbol" w:hint="default"/>
        <w:color w:val="1F497D"/>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1756E6"/>
    <w:multiLevelType w:val="hybridMultilevel"/>
    <w:tmpl w:val="16BC98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BC6A3E"/>
    <w:multiLevelType w:val="hybridMultilevel"/>
    <w:tmpl w:val="1D548CD8"/>
    <w:lvl w:ilvl="0" w:tplc="5294763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C9B7DDD"/>
    <w:multiLevelType w:val="hybridMultilevel"/>
    <w:tmpl w:val="B19672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02C31D8"/>
    <w:multiLevelType w:val="hybridMultilevel"/>
    <w:tmpl w:val="4DA64F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7102099"/>
    <w:multiLevelType w:val="hybridMultilevel"/>
    <w:tmpl w:val="ADB6B2E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73A5B2F"/>
    <w:multiLevelType w:val="hybridMultilevel"/>
    <w:tmpl w:val="4F0AB62C"/>
    <w:lvl w:ilvl="0" w:tplc="9468CD22">
      <w:start w:val="13"/>
      <w:numFmt w:val="bullet"/>
      <w:lvlText w:val="-"/>
      <w:lvlJc w:val="left"/>
      <w:pPr>
        <w:ind w:left="360" w:hanging="360"/>
      </w:pPr>
      <w:rPr>
        <w:rFonts w:ascii="Times New Roman" w:eastAsia="Times New Roman" w:hAnsi="Times New Roman" w:cs="Times New Roman"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67B6016C"/>
    <w:multiLevelType w:val="hybridMultilevel"/>
    <w:tmpl w:val="6796463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2B7BC8"/>
    <w:multiLevelType w:val="hybridMultilevel"/>
    <w:tmpl w:val="DB525C36"/>
    <w:lvl w:ilvl="0" w:tplc="C1B82E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9B1995"/>
    <w:multiLevelType w:val="hybridMultilevel"/>
    <w:tmpl w:val="4AE4713C"/>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EDA5EE6"/>
    <w:multiLevelType w:val="hybridMultilevel"/>
    <w:tmpl w:val="BFF6B2D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5E806BB"/>
    <w:multiLevelType w:val="hybridMultilevel"/>
    <w:tmpl w:val="CF64D5FE"/>
    <w:lvl w:ilvl="0" w:tplc="0426000F">
      <w:start w:val="1"/>
      <w:numFmt w:val="decimal"/>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7C47134F"/>
    <w:multiLevelType w:val="hybridMultilevel"/>
    <w:tmpl w:val="0250FEDE"/>
    <w:lvl w:ilvl="0" w:tplc="04260003">
      <w:start w:val="1"/>
      <w:numFmt w:val="bullet"/>
      <w:lvlText w:val="o"/>
      <w:lvlJc w:val="left"/>
      <w:pPr>
        <w:ind w:left="360" w:hanging="360"/>
      </w:pPr>
      <w:rPr>
        <w:rFonts w:ascii="Courier New" w:hAnsi="Courier New" w:cs="Courier New"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0" w15:restartNumberingAfterBreak="0">
    <w:nsid w:val="7CCE3239"/>
    <w:multiLevelType w:val="hybridMultilevel"/>
    <w:tmpl w:val="F0800740"/>
    <w:lvl w:ilvl="0" w:tplc="C1B82EF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E112376"/>
    <w:multiLevelType w:val="hybridMultilevel"/>
    <w:tmpl w:val="562A0B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8"/>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6"/>
  </w:num>
  <w:num w:numId="9">
    <w:abstractNumId w:val="23"/>
  </w:num>
  <w:num w:numId="10">
    <w:abstractNumId w:val="5"/>
  </w:num>
  <w:num w:numId="11">
    <w:abstractNumId w:val="29"/>
  </w:num>
  <w:num w:numId="12">
    <w:abstractNumId w:val="27"/>
  </w:num>
  <w:num w:numId="13">
    <w:abstractNumId w:val="2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8"/>
  </w:num>
  <w:num w:numId="30">
    <w:abstractNumId w:val="26"/>
  </w:num>
  <w:num w:numId="31">
    <w:abstractNumId w:val="2"/>
  </w:num>
  <w:num w:numId="32">
    <w:abstractNumId w:val="25"/>
  </w:num>
  <w:num w:numId="33">
    <w:abstractNumId w:val="31"/>
  </w:num>
  <w:num w:numId="34">
    <w:abstractNumId w:val="3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39"/>
    <w:rsid w:val="00020B18"/>
    <w:rsid w:val="00086378"/>
    <w:rsid w:val="00091A6A"/>
    <w:rsid w:val="000E5A6A"/>
    <w:rsid w:val="00115DE8"/>
    <w:rsid w:val="00150AB2"/>
    <w:rsid w:val="0015558C"/>
    <w:rsid w:val="001565A8"/>
    <w:rsid w:val="00157556"/>
    <w:rsid w:val="001832A2"/>
    <w:rsid w:val="001967CC"/>
    <w:rsid w:val="001A3EB8"/>
    <w:rsid w:val="001C6E87"/>
    <w:rsid w:val="001F307F"/>
    <w:rsid w:val="00247BB8"/>
    <w:rsid w:val="00280E08"/>
    <w:rsid w:val="00281EEC"/>
    <w:rsid w:val="002B4619"/>
    <w:rsid w:val="002C44D3"/>
    <w:rsid w:val="0030133D"/>
    <w:rsid w:val="00375D10"/>
    <w:rsid w:val="00381DC9"/>
    <w:rsid w:val="00392075"/>
    <w:rsid w:val="003A090B"/>
    <w:rsid w:val="003C4186"/>
    <w:rsid w:val="003C555D"/>
    <w:rsid w:val="003E64EB"/>
    <w:rsid w:val="004309EF"/>
    <w:rsid w:val="00471D58"/>
    <w:rsid w:val="00491A03"/>
    <w:rsid w:val="004C67D2"/>
    <w:rsid w:val="004F1FAB"/>
    <w:rsid w:val="004F7D36"/>
    <w:rsid w:val="00502587"/>
    <w:rsid w:val="00545511"/>
    <w:rsid w:val="00577C7E"/>
    <w:rsid w:val="00583DDC"/>
    <w:rsid w:val="005924C3"/>
    <w:rsid w:val="005A41D9"/>
    <w:rsid w:val="005B09CC"/>
    <w:rsid w:val="005B73EC"/>
    <w:rsid w:val="005C5012"/>
    <w:rsid w:val="006016FA"/>
    <w:rsid w:val="006215A2"/>
    <w:rsid w:val="00636026"/>
    <w:rsid w:val="00637D11"/>
    <w:rsid w:val="00652C61"/>
    <w:rsid w:val="006545EB"/>
    <w:rsid w:val="006572CD"/>
    <w:rsid w:val="00693CC5"/>
    <w:rsid w:val="006C4439"/>
    <w:rsid w:val="006D55EA"/>
    <w:rsid w:val="006D7D22"/>
    <w:rsid w:val="006E52AD"/>
    <w:rsid w:val="006E6F4F"/>
    <w:rsid w:val="00704CFF"/>
    <w:rsid w:val="007260DD"/>
    <w:rsid w:val="0076528A"/>
    <w:rsid w:val="00787C06"/>
    <w:rsid w:val="007B3B86"/>
    <w:rsid w:val="007C44E9"/>
    <w:rsid w:val="007F0094"/>
    <w:rsid w:val="008137D8"/>
    <w:rsid w:val="008217A0"/>
    <w:rsid w:val="008705B9"/>
    <w:rsid w:val="00881025"/>
    <w:rsid w:val="00883362"/>
    <w:rsid w:val="008C00BE"/>
    <w:rsid w:val="008C73B2"/>
    <w:rsid w:val="008E0F8A"/>
    <w:rsid w:val="00914F36"/>
    <w:rsid w:val="00922635"/>
    <w:rsid w:val="009416BF"/>
    <w:rsid w:val="009917ED"/>
    <w:rsid w:val="00993AFD"/>
    <w:rsid w:val="009A131F"/>
    <w:rsid w:val="009B2FB2"/>
    <w:rsid w:val="009D52DA"/>
    <w:rsid w:val="009E2652"/>
    <w:rsid w:val="009F5053"/>
    <w:rsid w:val="00A25C53"/>
    <w:rsid w:val="00A311C8"/>
    <w:rsid w:val="00A936E2"/>
    <w:rsid w:val="00AA34E7"/>
    <w:rsid w:val="00AA386E"/>
    <w:rsid w:val="00AA55BC"/>
    <w:rsid w:val="00AB56D6"/>
    <w:rsid w:val="00AB6654"/>
    <w:rsid w:val="00AC42C4"/>
    <w:rsid w:val="00AE1F40"/>
    <w:rsid w:val="00AE434C"/>
    <w:rsid w:val="00B214C6"/>
    <w:rsid w:val="00B30925"/>
    <w:rsid w:val="00B31EDD"/>
    <w:rsid w:val="00B77651"/>
    <w:rsid w:val="00B77972"/>
    <w:rsid w:val="00B8721B"/>
    <w:rsid w:val="00BA0F60"/>
    <w:rsid w:val="00BA1DAF"/>
    <w:rsid w:val="00BA71EF"/>
    <w:rsid w:val="00BC1714"/>
    <w:rsid w:val="00BD7579"/>
    <w:rsid w:val="00BE677A"/>
    <w:rsid w:val="00C032B8"/>
    <w:rsid w:val="00C13649"/>
    <w:rsid w:val="00C62CCF"/>
    <w:rsid w:val="00C965B8"/>
    <w:rsid w:val="00CC02AB"/>
    <w:rsid w:val="00CD078A"/>
    <w:rsid w:val="00CD68FF"/>
    <w:rsid w:val="00CE4C27"/>
    <w:rsid w:val="00D132D8"/>
    <w:rsid w:val="00D367F7"/>
    <w:rsid w:val="00D53536"/>
    <w:rsid w:val="00D87065"/>
    <w:rsid w:val="00D9461B"/>
    <w:rsid w:val="00DB3665"/>
    <w:rsid w:val="00DC6BA1"/>
    <w:rsid w:val="00DD1C4F"/>
    <w:rsid w:val="00DE6566"/>
    <w:rsid w:val="00E1617F"/>
    <w:rsid w:val="00E65D38"/>
    <w:rsid w:val="00EA65CD"/>
    <w:rsid w:val="00EB042F"/>
    <w:rsid w:val="00EC3C77"/>
    <w:rsid w:val="00EE66F7"/>
    <w:rsid w:val="00EF5269"/>
    <w:rsid w:val="00F00920"/>
    <w:rsid w:val="00F13472"/>
    <w:rsid w:val="00F20082"/>
    <w:rsid w:val="00F21039"/>
    <w:rsid w:val="00F23925"/>
    <w:rsid w:val="00F53491"/>
    <w:rsid w:val="00F74BA6"/>
    <w:rsid w:val="00F96A1B"/>
    <w:rsid w:val="00FC37D4"/>
    <w:rsid w:val="00FE0896"/>
    <w:rsid w:val="00FE179B"/>
    <w:rsid w:val="00FF2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B56"/>
  <w15:chartTrackingRefBased/>
  <w15:docId w15:val="{65DEC58F-73AF-49F7-8AEF-105B9745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804d7de8fd46f06a46511c7c60d1535e">
    <w:name w:val="msonormal_804d7de8fd46f06a46511c7c60d1535e"/>
    <w:basedOn w:val="Normal"/>
    <w:uiPriority w:val="99"/>
    <w:rsid w:val="00F13472"/>
    <w:pPr>
      <w:spacing w:after="0" w:line="240" w:lineRule="auto"/>
    </w:pPr>
    <w:rPr>
      <w:rFonts w:ascii="Times New Roman" w:hAnsi="Times New Roman" w:cs="Times New Roman"/>
      <w:lang w:eastAsia="lv-LV"/>
    </w:rPr>
  </w:style>
  <w:style w:type="table" w:styleId="TableGrid">
    <w:name w:val="Table Grid"/>
    <w:basedOn w:val="TableNormal"/>
    <w:uiPriority w:val="39"/>
    <w:rsid w:val="00F134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
    <w:basedOn w:val="Normal"/>
    <w:link w:val="ListParagraphChar"/>
    <w:uiPriority w:val="34"/>
    <w:qFormat/>
    <w:rsid w:val="007260DD"/>
    <w:pPr>
      <w:spacing w:line="259" w:lineRule="auto"/>
      <w:ind w:left="720"/>
      <w:contextualSpacing/>
    </w:pPr>
  </w:style>
  <w:style w:type="character" w:styleId="Hyperlink">
    <w:name w:val="Hyperlink"/>
    <w:basedOn w:val="DefaultParagraphFont"/>
    <w:uiPriority w:val="99"/>
    <w:unhideWhenUsed/>
    <w:rsid w:val="007260DD"/>
    <w:rPr>
      <w:rFonts w:ascii="Times New Roman" w:hAnsi="Times New Roman" w:cs="Times New Roman" w:hint="default"/>
      <w:color w:val="0563C1" w:themeColor="hyperlink"/>
      <w:u w:val="single"/>
    </w:rPr>
  </w:style>
  <w:style w:type="character" w:styleId="Emphasis">
    <w:name w:val="Emphasis"/>
    <w:basedOn w:val="DefaultParagraphFont"/>
    <w:uiPriority w:val="20"/>
    <w:qFormat/>
    <w:rsid w:val="009A131F"/>
    <w:rPr>
      <w:i/>
      <w:iCs/>
    </w:rPr>
  </w:style>
  <w:style w:type="paragraph" w:customStyle="1" w:styleId="paragraph">
    <w:name w:val="paragraph"/>
    <w:basedOn w:val="Normal"/>
    <w:uiPriority w:val="99"/>
    <w:rsid w:val="009A131F"/>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9A131F"/>
  </w:style>
  <w:style w:type="character" w:customStyle="1" w:styleId="eop">
    <w:name w:val="eop"/>
    <w:basedOn w:val="DefaultParagraphFont"/>
    <w:rsid w:val="009A131F"/>
  </w:style>
  <w:style w:type="character" w:styleId="UnresolvedMention">
    <w:name w:val="Unresolved Mention"/>
    <w:basedOn w:val="DefaultParagraphFont"/>
    <w:uiPriority w:val="99"/>
    <w:semiHidden/>
    <w:unhideWhenUsed/>
    <w:rsid w:val="004309EF"/>
    <w:rPr>
      <w:color w:val="605E5C"/>
      <w:shd w:val="clear" w:color="auto" w:fill="E1DFDD"/>
    </w:rPr>
  </w:style>
  <w:style w:type="character" w:styleId="CommentReference">
    <w:name w:val="annotation reference"/>
    <w:basedOn w:val="DefaultParagraphFont"/>
    <w:uiPriority w:val="99"/>
    <w:semiHidden/>
    <w:unhideWhenUsed/>
    <w:rsid w:val="006016FA"/>
    <w:rPr>
      <w:sz w:val="16"/>
      <w:szCs w:val="16"/>
    </w:rPr>
  </w:style>
  <w:style w:type="paragraph" w:styleId="CommentText">
    <w:name w:val="annotation text"/>
    <w:basedOn w:val="Normal"/>
    <w:link w:val="CommentTextChar"/>
    <w:uiPriority w:val="99"/>
    <w:semiHidden/>
    <w:unhideWhenUsed/>
    <w:rsid w:val="006016FA"/>
    <w:pPr>
      <w:spacing w:line="240" w:lineRule="auto"/>
    </w:pPr>
    <w:rPr>
      <w:sz w:val="20"/>
      <w:szCs w:val="20"/>
    </w:rPr>
  </w:style>
  <w:style w:type="character" w:customStyle="1" w:styleId="CommentTextChar">
    <w:name w:val="Comment Text Char"/>
    <w:basedOn w:val="DefaultParagraphFont"/>
    <w:link w:val="CommentText"/>
    <w:uiPriority w:val="99"/>
    <w:semiHidden/>
    <w:rsid w:val="006016FA"/>
    <w:rPr>
      <w:sz w:val="20"/>
      <w:szCs w:val="20"/>
    </w:rPr>
  </w:style>
  <w:style w:type="paragraph" w:styleId="CommentSubject">
    <w:name w:val="annotation subject"/>
    <w:basedOn w:val="CommentText"/>
    <w:next w:val="CommentText"/>
    <w:link w:val="CommentSubjectChar"/>
    <w:uiPriority w:val="99"/>
    <w:semiHidden/>
    <w:unhideWhenUsed/>
    <w:rsid w:val="006016FA"/>
    <w:rPr>
      <w:b/>
      <w:bCs/>
    </w:rPr>
  </w:style>
  <w:style w:type="character" w:customStyle="1" w:styleId="CommentSubjectChar">
    <w:name w:val="Comment Subject Char"/>
    <w:basedOn w:val="CommentTextChar"/>
    <w:link w:val="CommentSubject"/>
    <w:uiPriority w:val="99"/>
    <w:semiHidden/>
    <w:rsid w:val="006016FA"/>
    <w:rPr>
      <w:b/>
      <w:bCs/>
      <w:sz w:val="20"/>
      <w:szCs w:val="20"/>
    </w:rPr>
  </w:style>
  <w:style w:type="paragraph" w:styleId="PlainText">
    <w:name w:val="Plain Text"/>
    <w:basedOn w:val="Normal"/>
    <w:link w:val="PlainTextChar"/>
    <w:uiPriority w:val="99"/>
    <w:unhideWhenUsed/>
    <w:rsid w:val="00502587"/>
    <w:pPr>
      <w:spacing w:after="0" w:line="240" w:lineRule="auto"/>
    </w:pPr>
    <w:rPr>
      <w:rFonts w:ascii="Times New Roman" w:hAnsi="Times New Roman"/>
      <w:color w:val="2F5496" w:themeColor="accent1" w:themeShade="BF"/>
      <w:sz w:val="24"/>
      <w:szCs w:val="21"/>
    </w:rPr>
  </w:style>
  <w:style w:type="character" w:customStyle="1" w:styleId="PlainTextChar">
    <w:name w:val="Plain Text Char"/>
    <w:basedOn w:val="DefaultParagraphFont"/>
    <w:link w:val="PlainText"/>
    <w:uiPriority w:val="99"/>
    <w:rsid w:val="00502587"/>
    <w:rPr>
      <w:rFonts w:ascii="Times New Roman" w:hAnsi="Times New Roman"/>
      <w:color w:val="2F5496" w:themeColor="accent1" w:themeShade="BF"/>
      <w:sz w:val="24"/>
      <w:szCs w:val="21"/>
    </w:rPr>
  </w:style>
  <w:style w:type="character" w:customStyle="1" w:styleId="ListParagraphChar">
    <w:name w:val="List Paragraph Char"/>
    <w:aliases w:val="H&amp;P List Paragraph Char"/>
    <w:basedOn w:val="DefaultParagraphFont"/>
    <w:link w:val="ListParagraph"/>
    <w:uiPriority w:val="34"/>
    <w:locked/>
    <w:rsid w:val="00A936E2"/>
  </w:style>
  <w:style w:type="paragraph" w:styleId="Header">
    <w:name w:val="header"/>
    <w:basedOn w:val="Normal"/>
    <w:link w:val="HeaderChar"/>
    <w:uiPriority w:val="99"/>
    <w:unhideWhenUsed/>
    <w:rsid w:val="008E0F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0F8A"/>
  </w:style>
  <w:style w:type="paragraph" w:styleId="Footer">
    <w:name w:val="footer"/>
    <w:basedOn w:val="Normal"/>
    <w:link w:val="FooterChar"/>
    <w:uiPriority w:val="99"/>
    <w:unhideWhenUsed/>
    <w:rsid w:val="008E0F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0F8A"/>
  </w:style>
  <w:style w:type="paragraph" w:styleId="BodyText">
    <w:name w:val="Body Text"/>
    <w:basedOn w:val="Normal"/>
    <w:link w:val="BodyTextChar"/>
    <w:rsid w:val="00471D58"/>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471D58"/>
    <w:rPr>
      <w:rFonts w:ascii="Times New Roman" w:eastAsia="Times New Roman" w:hAnsi="Times New Roman" w:cs="Times New Roman"/>
      <w:sz w:val="24"/>
      <w:szCs w:val="24"/>
      <w:lang w:eastAsia="lv-LV"/>
    </w:rPr>
  </w:style>
  <w:style w:type="paragraph" w:styleId="Revision">
    <w:name w:val="Revision"/>
    <w:hidden/>
    <w:uiPriority w:val="99"/>
    <w:semiHidden/>
    <w:rsid w:val="00086378"/>
    <w:pPr>
      <w:spacing w:after="0" w:line="240" w:lineRule="auto"/>
    </w:pPr>
  </w:style>
  <w:style w:type="paragraph" w:styleId="FootnoteText">
    <w:name w:val="footnote text"/>
    <w:basedOn w:val="Normal"/>
    <w:link w:val="FootnoteTextChar"/>
    <w:uiPriority w:val="99"/>
    <w:semiHidden/>
    <w:unhideWhenUsed/>
    <w:rsid w:val="00821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7A0"/>
    <w:rPr>
      <w:sz w:val="20"/>
      <w:szCs w:val="20"/>
    </w:rPr>
  </w:style>
  <w:style w:type="character" w:styleId="FootnoteReference">
    <w:name w:val="footnote reference"/>
    <w:basedOn w:val="DefaultParagraphFont"/>
    <w:uiPriority w:val="99"/>
    <w:semiHidden/>
    <w:unhideWhenUsed/>
    <w:rsid w:val="00821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22">
      <w:bodyDiv w:val="1"/>
      <w:marLeft w:val="0"/>
      <w:marRight w:val="0"/>
      <w:marTop w:val="0"/>
      <w:marBottom w:val="0"/>
      <w:divBdr>
        <w:top w:val="none" w:sz="0" w:space="0" w:color="auto"/>
        <w:left w:val="none" w:sz="0" w:space="0" w:color="auto"/>
        <w:bottom w:val="none" w:sz="0" w:space="0" w:color="auto"/>
        <w:right w:val="none" w:sz="0" w:space="0" w:color="auto"/>
      </w:divBdr>
    </w:div>
    <w:div w:id="23292078">
      <w:bodyDiv w:val="1"/>
      <w:marLeft w:val="0"/>
      <w:marRight w:val="0"/>
      <w:marTop w:val="0"/>
      <w:marBottom w:val="0"/>
      <w:divBdr>
        <w:top w:val="none" w:sz="0" w:space="0" w:color="auto"/>
        <w:left w:val="none" w:sz="0" w:space="0" w:color="auto"/>
        <w:bottom w:val="none" w:sz="0" w:space="0" w:color="auto"/>
        <w:right w:val="none" w:sz="0" w:space="0" w:color="auto"/>
      </w:divBdr>
    </w:div>
    <w:div w:id="52435071">
      <w:bodyDiv w:val="1"/>
      <w:marLeft w:val="0"/>
      <w:marRight w:val="0"/>
      <w:marTop w:val="0"/>
      <w:marBottom w:val="0"/>
      <w:divBdr>
        <w:top w:val="none" w:sz="0" w:space="0" w:color="auto"/>
        <w:left w:val="none" w:sz="0" w:space="0" w:color="auto"/>
        <w:bottom w:val="none" w:sz="0" w:space="0" w:color="auto"/>
        <w:right w:val="none" w:sz="0" w:space="0" w:color="auto"/>
      </w:divBdr>
    </w:div>
    <w:div w:id="53553270">
      <w:bodyDiv w:val="1"/>
      <w:marLeft w:val="0"/>
      <w:marRight w:val="0"/>
      <w:marTop w:val="0"/>
      <w:marBottom w:val="0"/>
      <w:divBdr>
        <w:top w:val="none" w:sz="0" w:space="0" w:color="auto"/>
        <w:left w:val="none" w:sz="0" w:space="0" w:color="auto"/>
        <w:bottom w:val="none" w:sz="0" w:space="0" w:color="auto"/>
        <w:right w:val="none" w:sz="0" w:space="0" w:color="auto"/>
      </w:divBdr>
    </w:div>
    <w:div w:id="92670931">
      <w:bodyDiv w:val="1"/>
      <w:marLeft w:val="0"/>
      <w:marRight w:val="0"/>
      <w:marTop w:val="0"/>
      <w:marBottom w:val="0"/>
      <w:divBdr>
        <w:top w:val="none" w:sz="0" w:space="0" w:color="auto"/>
        <w:left w:val="none" w:sz="0" w:space="0" w:color="auto"/>
        <w:bottom w:val="none" w:sz="0" w:space="0" w:color="auto"/>
        <w:right w:val="none" w:sz="0" w:space="0" w:color="auto"/>
      </w:divBdr>
    </w:div>
    <w:div w:id="94325106">
      <w:bodyDiv w:val="1"/>
      <w:marLeft w:val="0"/>
      <w:marRight w:val="0"/>
      <w:marTop w:val="0"/>
      <w:marBottom w:val="0"/>
      <w:divBdr>
        <w:top w:val="none" w:sz="0" w:space="0" w:color="auto"/>
        <w:left w:val="none" w:sz="0" w:space="0" w:color="auto"/>
        <w:bottom w:val="none" w:sz="0" w:space="0" w:color="auto"/>
        <w:right w:val="none" w:sz="0" w:space="0" w:color="auto"/>
      </w:divBdr>
    </w:div>
    <w:div w:id="178742328">
      <w:bodyDiv w:val="1"/>
      <w:marLeft w:val="0"/>
      <w:marRight w:val="0"/>
      <w:marTop w:val="0"/>
      <w:marBottom w:val="0"/>
      <w:divBdr>
        <w:top w:val="none" w:sz="0" w:space="0" w:color="auto"/>
        <w:left w:val="none" w:sz="0" w:space="0" w:color="auto"/>
        <w:bottom w:val="none" w:sz="0" w:space="0" w:color="auto"/>
        <w:right w:val="none" w:sz="0" w:space="0" w:color="auto"/>
      </w:divBdr>
    </w:div>
    <w:div w:id="243760142">
      <w:bodyDiv w:val="1"/>
      <w:marLeft w:val="0"/>
      <w:marRight w:val="0"/>
      <w:marTop w:val="0"/>
      <w:marBottom w:val="0"/>
      <w:divBdr>
        <w:top w:val="none" w:sz="0" w:space="0" w:color="auto"/>
        <w:left w:val="none" w:sz="0" w:space="0" w:color="auto"/>
        <w:bottom w:val="none" w:sz="0" w:space="0" w:color="auto"/>
        <w:right w:val="none" w:sz="0" w:space="0" w:color="auto"/>
      </w:divBdr>
    </w:div>
    <w:div w:id="293684799">
      <w:bodyDiv w:val="1"/>
      <w:marLeft w:val="0"/>
      <w:marRight w:val="0"/>
      <w:marTop w:val="0"/>
      <w:marBottom w:val="0"/>
      <w:divBdr>
        <w:top w:val="none" w:sz="0" w:space="0" w:color="auto"/>
        <w:left w:val="none" w:sz="0" w:space="0" w:color="auto"/>
        <w:bottom w:val="none" w:sz="0" w:space="0" w:color="auto"/>
        <w:right w:val="none" w:sz="0" w:space="0" w:color="auto"/>
      </w:divBdr>
    </w:div>
    <w:div w:id="308479389">
      <w:bodyDiv w:val="1"/>
      <w:marLeft w:val="0"/>
      <w:marRight w:val="0"/>
      <w:marTop w:val="0"/>
      <w:marBottom w:val="0"/>
      <w:divBdr>
        <w:top w:val="none" w:sz="0" w:space="0" w:color="auto"/>
        <w:left w:val="none" w:sz="0" w:space="0" w:color="auto"/>
        <w:bottom w:val="none" w:sz="0" w:space="0" w:color="auto"/>
        <w:right w:val="none" w:sz="0" w:space="0" w:color="auto"/>
      </w:divBdr>
    </w:div>
    <w:div w:id="425614632">
      <w:bodyDiv w:val="1"/>
      <w:marLeft w:val="0"/>
      <w:marRight w:val="0"/>
      <w:marTop w:val="0"/>
      <w:marBottom w:val="0"/>
      <w:divBdr>
        <w:top w:val="none" w:sz="0" w:space="0" w:color="auto"/>
        <w:left w:val="none" w:sz="0" w:space="0" w:color="auto"/>
        <w:bottom w:val="none" w:sz="0" w:space="0" w:color="auto"/>
        <w:right w:val="none" w:sz="0" w:space="0" w:color="auto"/>
      </w:divBdr>
    </w:div>
    <w:div w:id="468211180">
      <w:bodyDiv w:val="1"/>
      <w:marLeft w:val="0"/>
      <w:marRight w:val="0"/>
      <w:marTop w:val="0"/>
      <w:marBottom w:val="0"/>
      <w:divBdr>
        <w:top w:val="none" w:sz="0" w:space="0" w:color="auto"/>
        <w:left w:val="none" w:sz="0" w:space="0" w:color="auto"/>
        <w:bottom w:val="none" w:sz="0" w:space="0" w:color="auto"/>
        <w:right w:val="none" w:sz="0" w:space="0" w:color="auto"/>
      </w:divBdr>
    </w:div>
    <w:div w:id="488518520">
      <w:bodyDiv w:val="1"/>
      <w:marLeft w:val="0"/>
      <w:marRight w:val="0"/>
      <w:marTop w:val="0"/>
      <w:marBottom w:val="0"/>
      <w:divBdr>
        <w:top w:val="none" w:sz="0" w:space="0" w:color="auto"/>
        <w:left w:val="none" w:sz="0" w:space="0" w:color="auto"/>
        <w:bottom w:val="none" w:sz="0" w:space="0" w:color="auto"/>
        <w:right w:val="none" w:sz="0" w:space="0" w:color="auto"/>
      </w:divBdr>
    </w:div>
    <w:div w:id="578096867">
      <w:bodyDiv w:val="1"/>
      <w:marLeft w:val="0"/>
      <w:marRight w:val="0"/>
      <w:marTop w:val="0"/>
      <w:marBottom w:val="0"/>
      <w:divBdr>
        <w:top w:val="none" w:sz="0" w:space="0" w:color="auto"/>
        <w:left w:val="none" w:sz="0" w:space="0" w:color="auto"/>
        <w:bottom w:val="none" w:sz="0" w:space="0" w:color="auto"/>
        <w:right w:val="none" w:sz="0" w:space="0" w:color="auto"/>
      </w:divBdr>
    </w:div>
    <w:div w:id="600526677">
      <w:bodyDiv w:val="1"/>
      <w:marLeft w:val="0"/>
      <w:marRight w:val="0"/>
      <w:marTop w:val="0"/>
      <w:marBottom w:val="0"/>
      <w:divBdr>
        <w:top w:val="none" w:sz="0" w:space="0" w:color="auto"/>
        <w:left w:val="none" w:sz="0" w:space="0" w:color="auto"/>
        <w:bottom w:val="none" w:sz="0" w:space="0" w:color="auto"/>
        <w:right w:val="none" w:sz="0" w:space="0" w:color="auto"/>
      </w:divBdr>
    </w:div>
    <w:div w:id="609580950">
      <w:bodyDiv w:val="1"/>
      <w:marLeft w:val="0"/>
      <w:marRight w:val="0"/>
      <w:marTop w:val="0"/>
      <w:marBottom w:val="0"/>
      <w:divBdr>
        <w:top w:val="none" w:sz="0" w:space="0" w:color="auto"/>
        <w:left w:val="none" w:sz="0" w:space="0" w:color="auto"/>
        <w:bottom w:val="none" w:sz="0" w:space="0" w:color="auto"/>
        <w:right w:val="none" w:sz="0" w:space="0" w:color="auto"/>
      </w:divBdr>
    </w:div>
    <w:div w:id="662972806">
      <w:bodyDiv w:val="1"/>
      <w:marLeft w:val="0"/>
      <w:marRight w:val="0"/>
      <w:marTop w:val="0"/>
      <w:marBottom w:val="0"/>
      <w:divBdr>
        <w:top w:val="none" w:sz="0" w:space="0" w:color="auto"/>
        <w:left w:val="none" w:sz="0" w:space="0" w:color="auto"/>
        <w:bottom w:val="none" w:sz="0" w:space="0" w:color="auto"/>
        <w:right w:val="none" w:sz="0" w:space="0" w:color="auto"/>
      </w:divBdr>
    </w:div>
    <w:div w:id="692537013">
      <w:bodyDiv w:val="1"/>
      <w:marLeft w:val="0"/>
      <w:marRight w:val="0"/>
      <w:marTop w:val="0"/>
      <w:marBottom w:val="0"/>
      <w:divBdr>
        <w:top w:val="none" w:sz="0" w:space="0" w:color="auto"/>
        <w:left w:val="none" w:sz="0" w:space="0" w:color="auto"/>
        <w:bottom w:val="none" w:sz="0" w:space="0" w:color="auto"/>
        <w:right w:val="none" w:sz="0" w:space="0" w:color="auto"/>
      </w:divBdr>
    </w:div>
    <w:div w:id="755399305">
      <w:bodyDiv w:val="1"/>
      <w:marLeft w:val="0"/>
      <w:marRight w:val="0"/>
      <w:marTop w:val="0"/>
      <w:marBottom w:val="0"/>
      <w:divBdr>
        <w:top w:val="none" w:sz="0" w:space="0" w:color="auto"/>
        <w:left w:val="none" w:sz="0" w:space="0" w:color="auto"/>
        <w:bottom w:val="none" w:sz="0" w:space="0" w:color="auto"/>
        <w:right w:val="none" w:sz="0" w:space="0" w:color="auto"/>
      </w:divBdr>
    </w:div>
    <w:div w:id="783186950">
      <w:bodyDiv w:val="1"/>
      <w:marLeft w:val="0"/>
      <w:marRight w:val="0"/>
      <w:marTop w:val="0"/>
      <w:marBottom w:val="0"/>
      <w:divBdr>
        <w:top w:val="none" w:sz="0" w:space="0" w:color="auto"/>
        <w:left w:val="none" w:sz="0" w:space="0" w:color="auto"/>
        <w:bottom w:val="none" w:sz="0" w:space="0" w:color="auto"/>
        <w:right w:val="none" w:sz="0" w:space="0" w:color="auto"/>
      </w:divBdr>
    </w:div>
    <w:div w:id="799112514">
      <w:bodyDiv w:val="1"/>
      <w:marLeft w:val="0"/>
      <w:marRight w:val="0"/>
      <w:marTop w:val="0"/>
      <w:marBottom w:val="0"/>
      <w:divBdr>
        <w:top w:val="none" w:sz="0" w:space="0" w:color="auto"/>
        <w:left w:val="none" w:sz="0" w:space="0" w:color="auto"/>
        <w:bottom w:val="none" w:sz="0" w:space="0" w:color="auto"/>
        <w:right w:val="none" w:sz="0" w:space="0" w:color="auto"/>
      </w:divBdr>
    </w:div>
    <w:div w:id="870992279">
      <w:bodyDiv w:val="1"/>
      <w:marLeft w:val="0"/>
      <w:marRight w:val="0"/>
      <w:marTop w:val="0"/>
      <w:marBottom w:val="0"/>
      <w:divBdr>
        <w:top w:val="none" w:sz="0" w:space="0" w:color="auto"/>
        <w:left w:val="none" w:sz="0" w:space="0" w:color="auto"/>
        <w:bottom w:val="none" w:sz="0" w:space="0" w:color="auto"/>
        <w:right w:val="none" w:sz="0" w:space="0" w:color="auto"/>
      </w:divBdr>
    </w:div>
    <w:div w:id="914556167">
      <w:bodyDiv w:val="1"/>
      <w:marLeft w:val="0"/>
      <w:marRight w:val="0"/>
      <w:marTop w:val="0"/>
      <w:marBottom w:val="0"/>
      <w:divBdr>
        <w:top w:val="none" w:sz="0" w:space="0" w:color="auto"/>
        <w:left w:val="none" w:sz="0" w:space="0" w:color="auto"/>
        <w:bottom w:val="none" w:sz="0" w:space="0" w:color="auto"/>
        <w:right w:val="none" w:sz="0" w:space="0" w:color="auto"/>
      </w:divBdr>
    </w:div>
    <w:div w:id="929896938">
      <w:bodyDiv w:val="1"/>
      <w:marLeft w:val="0"/>
      <w:marRight w:val="0"/>
      <w:marTop w:val="0"/>
      <w:marBottom w:val="0"/>
      <w:divBdr>
        <w:top w:val="none" w:sz="0" w:space="0" w:color="auto"/>
        <w:left w:val="none" w:sz="0" w:space="0" w:color="auto"/>
        <w:bottom w:val="none" w:sz="0" w:space="0" w:color="auto"/>
        <w:right w:val="none" w:sz="0" w:space="0" w:color="auto"/>
      </w:divBdr>
    </w:div>
    <w:div w:id="937903886">
      <w:bodyDiv w:val="1"/>
      <w:marLeft w:val="0"/>
      <w:marRight w:val="0"/>
      <w:marTop w:val="0"/>
      <w:marBottom w:val="0"/>
      <w:divBdr>
        <w:top w:val="none" w:sz="0" w:space="0" w:color="auto"/>
        <w:left w:val="none" w:sz="0" w:space="0" w:color="auto"/>
        <w:bottom w:val="none" w:sz="0" w:space="0" w:color="auto"/>
        <w:right w:val="none" w:sz="0" w:space="0" w:color="auto"/>
      </w:divBdr>
    </w:div>
    <w:div w:id="1042436409">
      <w:bodyDiv w:val="1"/>
      <w:marLeft w:val="0"/>
      <w:marRight w:val="0"/>
      <w:marTop w:val="0"/>
      <w:marBottom w:val="0"/>
      <w:divBdr>
        <w:top w:val="none" w:sz="0" w:space="0" w:color="auto"/>
        <w:left w:val="none" w:sz="0" w:space="0" w:color="auto"/>
        <w:bottom w:val="none" w:sz="0" w:space="0" w:color="auto"/>
        <w:right w:val="none" w:sz="0" w:space="0" w:color="auto"/>
      </w:divBdr>
    </w:div>
    <w:div w:id="1061486781">
      <w:bodyDiv w:val="1"/>
      <w:marLeft w:val="0"/>
      <w:marRight w:val="0"/>
      <w:marTop w:val="0"/>
      <w:marBottom w:val="0"/>
      <w:divBdr>
        <w:top w:val="none" w:sz="0" w:space="0" w:color="auto"/>
        <w:left w:val="none" w:sz="0" w:space="0" w:color="auto"/>
        <w:bottom w:val="none" w:sz="0" w:space="0" w:color="auto"/>
        <w:right w:val="none" w:sz="0" w:space="0" w:color="auto"/>
      </w:divBdr>
    </w:div>
    <w:div w:id="1063717555">
      <w:bodyDiv w:val="1"/>
      <w:marLeft w:val="0"/>
      <w:marRight w:val="0"/>
      <w:marTop w:val="0"/>
      <w:marBottom w:val="0"/>
      <w:divBdr>
        <w:top w:val="none" w:sz="0" w:space="0" w:color="auto"/>
        <w:left w:val="none" w:sz="0" w:space="0" w:color="auto"/>
        <w:bottom w:val="none" w:sz="0" w:space="0" w:color="auto"/>
        <w:right w:val="none" w:sz="0" w:space="0" w:color="auto"/>
      </w:divBdr>
    </w:div>
    <w:div w:id="1091850743">
      <w:bodyDiv w:val="1"/>
      <w:marLeft w:val="0"/>
      <w:marRight w:val="0"/>
      <w:marTop w:val="0"/>
      <w:marBottom w:val="0"/>
      <w:divBdr>
        <w:top w:val="none" w:sz="0" w:space="0" w:color="auto"/>
        <w:left w:val="none" w:sz="0" w:space="0" w:color="auto"/>
        <w:bottom w:val="none" w:sz="0" w:space="0" w:color="auto"/>
        <w:right w:val="none" w:sz="0" w:space="0" w:color="auto"/>
      </w:divBdr>
    </w:div>
    <w:div w:id="1099788811">
      <w:bodyDiv w:val="1"/>
      <w:marLeft w:val="0"/>
      <w:marRight w:val="0"/>
      <w:marTop w:val="0"/>
      <w:marBottom w:val="0"/>
      <w:divBdr>
        <w:top w:val="none" w:sz="0" w:space="0" w:color="auto"/>
        <w:left w:val="none" w:sz="0" w:space="0" w:color="auto"/>
        <w:bottom w:val="none" w:sz="0" w:space="0" w:color="auto"/>
        <w:right w:val="none" w:sz="0" w:space="0" w:color="auto"/>
      </w:divBdr>
    </w:div>
    <w:div w:id="1174610038">
      <w:bodyDiv w:val="1"/>
      <w:marLeft w:val="0"/>
      <w:marRight w:val="0"/>
      <w:marTop w:val="0"/>
      <w:marBottom w:val="0"/>
      <w:divBdr>
        <w:top w:val="none" w:sz="0" w:space="0" w:color="auto"/>
        <w:left w:val="none" w:sz="0" w:space="0" w:color="auto"/>
        <w:bottom w:val="none" w:sz="0" w:space="0" w:color="auto"/>
        <w:right w:val="none" w:sz="0" w:space="0" w:color="auto"/>
      </w:divBdr>
    </w:div>
    <w:div w:id="1202401858">
      <w:bodyDiv w:val="1"/>
      <w:marLeft w:val="0"/>
      <w:marRight w:val="0"/>
      <w:marTop w:val="0"/>
      <w:marBottom w:val="0"/>
      <w:divBdr>
        <w:top w:val="none" w:sz="0" w:space="0" w:color="auto"/>
        <w:left w:val="none" w:sz="0" w:space="0" w:color="auto"/>
        <w:bottom w:val="none" w:sz="0" w:space="0" w:color="auto"/>
        <w:right w:val="none" w:sz="0" w:space="0" w:color="auto"/>
      </w:divBdr>
    </w:div>
    <w:div w:id="1255239291">
      <w:bodyDiv w:val="1"/>
      <w:marLeft w:val="0"/>
      <w:marRight w:val="0"/>
      <w:marTop w:val="0"/>
      <w:marBottom w:val="0"/>
      <w:divBdr>
        <w:top w:val="none" w:sz="0" w:space="0" w:color="auto"/>
        <w:left w:val="none" w:sz="0" w:space="0" w:color="auto"/>
        <w:bottom w:val="none" w:sz="0" w:space="0" w:color="auto"/>
        <w:right w:val="none" w:sz="0" w:space="0" w:color="auto"/>
      </w:divBdr>
    </w:div>
    <w:div w:id="1333333672">
      <w:bodyDiv w:val="1"/>
      <w:marLeft w:val="0"/>
      <w:marRight w:val="0"/>
      <w:marTop w:val="0"/>
      <w:marBottom w:val="0"/>
      <w:divBdr>
        <w:top w:val="none" w:sz="0" w:space="0" w:color="auto"/>
        <w:left w:val="none" w:sz="0" w:space="0" w:color="auto"/>
        <w:bottom w:val="none" w:sz="0" w:space="0" w:color="auto"/>
        <w:right w:val="none" w:sz="0" w:space="0" w:color="auto"/>
      </w:divBdr>
    </w:div>
    <w:div w:id="1401751825">
      <w:bodyDiv w:val="1"/>
      <w:marLeft w:val="0"/>
      <w:marRight w:val="0"/>
      <w:marTop w:val="0"/>
      <w:marBottom w:val="0"/>
      <w:divBdr>
        <w:top w:val="none" w:sz="0" w:space="0" w:color="auto"/>
        <w:left w:val="none" w:sz="0" w:space="0" w:color="auto"/>
        <w:bottom w:val="none" w:sz="0" w:space="0" w:color="auto"/>
        <w:right w:val="none" w:sz="0" w:space="0" w:color="auto"/>
      </w:divBdr>
    </w:div>
    <w:div w:id="1474761064">
      <w:bodyDiv w:val="1"/>
      <w:marLeft w:val="0"/>
      <w:marRight w:val="0"/>
      <w:marTop w:val="0"/>
      <w:marBottom w:val="0"/>
      <w:divBdr>
        <w:top w:val="none" w:sz="0" w:space="0" w:color="auto"/>
        <w:left w:val="none" w:sz="0" w:space="0" w:color="auto"/>
        <w:bottom w:val="none" w:sz="0" w:space="0" w:color="auto"/>
        <w:right w:val="none" w:sz="0" w:space="0" w:color="auto"/>
      </w:divBdr>
    </w:div>
    <w:div w:id="1537234927">
      <w:bodyDiv w:val="1"/>
      <w:marLeft w:val="0"/>
      <w:marRight w:val="0"/>
      <w:marTop w:val="0"/>
      <w:marBottom w:val="0"/>
      <w:divBdr>
        <w:top w:val="none" w:sz="0" w:space="0" w:color="auto"/>
        <w:left w:val="none" w:sz="0" w:space="0" w:color="auto"/>
        <w:bottom w:val="none" w:sz="0" w:space="0" w:color="auto"/>
        <w:right w:val="none" w:sz="0" w:space="0" w:color="auto"/>
      </w:divBdr>
    </w:div>
    <w:div w:id="1550143675">
      <w:bodyDiv w:val="1"/>
      <w:marLeft w:val="0"/>
      <w:marRight w:val="0"/>
      <w:marTop w:val="0"/>
      <w:marBottom w:val="0"/>
      <w:divBdr>
        <w:top w:val="none" w:sz="0" w:space="0" w:color="auto"/>
        <w:left w:val="none" w:sz="0" w:space="0" w:color="auto"/>
        <w:bottom w:val="none" w:sz="0" w:space="0" w:color="auto"/>
        <w:right w:val="none" w:sz="0" w:space="0" w:color="auto"/>
      </w:divBdr>
    </w:div>
    <w:div w:id="1623877380">
      <w:bodyDiv w:val="1"/>
      <w:marLeft w:val="0"/>
      <w:marRight w:val="0"/>
      <w:marTop w:val="0"/>
      <w:marBottom w:val="0"/>
      <w:divBdr>
        <w:top w:val="none" w:sz="0" w:space="0" w:color="auto"/>
        <w:left w:val="none" w:sz="0" w:space="0" w:color="auto"/>
        <w:bottom w:val="none" w:sz="0" w:space="0" w:color="auto"/>
        <w:right w:val="none" w:sz="0" w:space="0" w:color="auto"/>
      </w:divBdr>
    </w:div>
    <w:div w:id="1636060574">
      <w:bodyDiv w:val="1"/>
      <w:marLeft w:val="0"/>
      <w:marRight w:val="0"/>
      <w:marTop w:val="0"/>
      <w:marBottom w:val="0"/>
      <w:divBdr>
        <w:top w:val="none" w:sz="0" w:space="0" w:color="auto"/>
        <w:left w:val="none" w:sz="0" w:space="0" w:color="auto"/>
        <w:bottom w:val="none" w:sz="0" w:space="0" w:color="auto"/>
        <w:right w:val="none" w:sz="0" w:space="0" w:color="auto"/>
      </w:divBdr>
    </w:div>
    <w:div w:id="1642034655">
      <w:bodyDiv w:val="1"/>
      <w:marLeft w:val="0"/>
      <w:marRight w:val="0"/>
      <w:marTop w:val="0"/>
      <w:marBottom w:val="0"/>
      <w:divBdr>
        <w:top w:val="none" w:sz="0" w:space="0" w:color="auto"/>
        <w:left w:val="none" w:sz="0" w:space="0" w:color="auto"/>
        <w:bottom w:val="none" w:sz="0" w:space="0" w:color="auto"/>
        <w:right w:val="none" w:sz="0" w:space="0" w:color="auto"/>
      </w:divBdr>
    </w:div>
    <w:div w:id="1690716597">
      <w:bodyDiv w:val="1"/>
      <w:marLeft w:val="0"/>
      <w:marRight w:val="0"/>
      <w:marTop w:val="0"/>
      <w:marBottom w:val="0"/>
      <w:divBdr>
        <w:top w:val="none" w:sz="0" w:space="0" w:color="auto"/>
        <w:left w:val="none" w:sz="0" w:space="0" w:color="auto"/>
        <w:bottom w:val="none" w:sz="0" w:space="0" w:color="auto"/>
        <w:right w:val="none" w:sz="0" w:space="0" w:color="auto"/>
      </w:divBdr>
    </w:div>
    <w:div w:id="1720743045">
      <w:bodyDiv w:val="1"/>
      <w:marLeft w:val="0"/>
      <w:marRight w:val="0"/>
      <w:marTop w:val="0"/>
      <w:marBottom w:val="0"/>
      <w:divBdr>
        <w:top w:val="none" w:sz="0" w:space="0" w:color="auto"/>
        <w:left w:val="none" w:sz="0" w:space="0" w:color="auto"/>
        <w:bottom w:val="none" w:sz="0" w:space="0" w:color="auto"/>
        <w:right w:val="none" w:sz="0" w:space="0" w:color="auto"/>
      </w:divBdr>
    </w:div>
    <w:div w:id="1863011014">
      <w:bodyDiv w:val="1"/>
      <w:marLeft w:val="0"/>
      <w:marRight w:val="0"/>
      <w:marTop w:val="0"/>
      <w:marBottom w:val="0"/>
      <w:divBdr>
        <w:top w:val="none" w:sz="0" w:space="0" w:color="auto"/>
        <w:left w:val="none" w:sz="0" w:space="0" w:color="auto"/>
        <w:bottom w:val="none" w:sz="0" w:space="0" w:color="auto"/>
        <w:right w:val="none" w:sz="0" w:space="0" w:color="auto"/>
      </w:divBdr>
    </w:div>
    <w:div w:id="1891459722">
      <w:bodyDiv w:val="1"/>
      <w:marLeft w:val="0"/>
      <w:marRight w:val="0"/>
      <w:marTop w:val="0"/>
      <w:marBottom w:val="0"/>
      <w:divBdr>
        <w:top w:val="none" w:sz="0" w:space="0" w:color="auto"/>
        <w:left w:val="none" w:sz="0" w:space="0" w:color="auto"/>
        <w:bottom w:val="none" w:sz="0" w:space="0" w:color="auto"/>
        <w:right w:val="none" w:sz="0" w:space="0" w:color="auto"/>
      </w:divBdr>
    </w:div>
    <w:div w:id="1987051881">
      <w:bodyDiv w:val="1"/>
      <w:marLeft w:val="0"/>
      <w:marRight w:val="0"/>
      <w:marTop w:val="0"/>
      <w:marBottom w:val="0"/>
      <w:divBdr>
        <w:top w:val="none" w:sz="0" w:space="0" w:color="auto"/>
        <w:left w:val="none" w:sz="0" w:space="0" w:color="auto"/>
        <w:bottom w:val="none" w:sz="0" w:space="0" w:color="auto"/>
        <w:right w:val="none" w:sz="0" w:space="0" w:color="auto"/>
      </w:divBdr>
    </w:div>
    <w:div w:id="2019192046">
      <w:bodyDiv w:val="1"/>
      <w:marLeft w:val="0"/>
      <w:marRight w:val="0"/>
      <w:marTop w:val="0"/>
      <w:marBottom w:val="0"/>
      <w:divBdr>
        <w:top w:val="none" w:sz="0" w:space="0" w:color="auto"/>
        <w:left w:val="none" w:sz="0" w:space="0" w:color="auto"/>
        <w:bottom w:val="none" w:sz="0" w:space="0" w:color="auto"/>
        <w:right w:val="none" w:sz="0" w:space="0" w:color="auto"/>
      </w:divBdr>
    </w:div>
    <w:div w:id="2022773798">
      <w:bodyDiv w:val="1"/>
      <w:marLeft w:val="0"/>
      <w:marRight w:val="0"/>
      <w:marTop w:val="0"/>
      <w:marBottom w:val="0"/>
      <w:divBdr>
        <w:top w:val="none" w:sz="0" w:space="0" w:color="auto"/>
        <w:left w:val="none" w:sz="0" w:space="0" w:color="auto"/>
        <w:bottom w:val="none" w:sz="0" w:space="0" w:color="auto"/>
        <w:right w:val="none" w:sz="0" w:space="0" w:color="auto"/>
      </w:divBdr>
    </w:div>
    <w:div w:id="20921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lv/izmaksu-un-ieguvumu-analizes-metodika-0" TargetMode="External"/><Relationship Id="rId13" Type="http://schemas.openxmlformats.org/officeDocument/2006/relationships/hyperlink" Target="https://atlase.cfla.gov.lv/lv/5-6-2-k-4-u-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ram.gov.lv/lv/izmaksu-un-ieguvumu-analizes-metodik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tlase.cfla.gov.lv/lv/5-6-2-k-4-u-2" TargetMode="External"/><Relationship Id="rId4" Type="http://schemas.openxmlformats.org/officeDocument/2006/relationships/settings" Target="settings.xml"/><Relationship Id="rId9" Type="http://schemas.openxmlformats.org/officeDocument/2006/relationships/hyperlink" Target="https://atlase.cfla.gov.lv/lv/5-6-2-k-4-u-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490D-34D8-45DF-8EB7-87F7A09F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11689</Words>
  <Characters>6663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Šmite</dc:creator>
  <cp:keywords/>
  <dc:description/>
  <cp:lastModifiedBy>Sandra Avdijanova</cp:lastModifiedBy>
  <cp:revision>12</cp:revision>
  <dcterms:created xsi:type="dcterms:W3CDTF">2022-01-27T13:04:00Z</dcterms:created>
  <dcterms:modified xsi:type="dcterms:W3CDTF">2022-02-01T11:02:00Z</dcterms:modified>
</cp:coreProperties>
</file>