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6EA" w:rsidRDefault="00DC36EA" w:rsidP="00DC36EA">
      <w:pPr>
        <w:jc w:val="both"/>
      </w:pPr>
      <w:r>
        <w:t>Jautājumi:</w:t>
      </w:r>
    </w:p>
    <w:p w:rsidR="00DC36EA" w:rsidRDefault="00DC36EA" w:rsidP="00DC36EA">
      <w:pPr>
        <w:jc w:val="both"/>
      </w:pPr>
    </w:p>
    <w:p w:rsidR="00DC36EA" w:rsidRDefault="00DC36EA" w:rsidP="00DC36EA">
      <w:pPr>
        <w:pStyle w:val="ListParagraph"/>
        <w:numPr>
          <w:ilvl w:val="0"/>
          <w:numId w:val="1"/>
        </w:numPr>
        <w:jc w:val="both"/>
      </w:pPr>
      <w:r>
        <w:t xml:space="preserve">1.6.1.punktā projekta iesnieguma formā iznākuma rādītājs „Pētnieku skaits, kuri strādā uzlabotos pētniecības infrastruktūras objektos” – ja uz 2018.gada 31.12. vēl netiks nekas uzlabots (nav veikti remonti un nav jaunbūves), vai var šis starprezultāts nebūt un tikai gala rezultātu aizpildīt? Jeb šajā starprezultātā var likt to skaitu pētnieku, kas strādās ar </w:t>
      </w:r>
      <w:proofErr w:type="spellStart"/>
      <w:r>
        <w:t>jauniegādātajām</w:t>
      </w:r>
      <w:proofErr w:type="spellEnd"/>
      <w:r>
        <w:t xml:space="preserve"> pētniecības iekārtā? Vai iegādātās iekārtas arī šajā rādītāja ir jāņem vērā?</w:t>
      </w:r>
    </w:p>
    <w:p w:rsidR="00DC36EA" w:rsidRDefault="00DC36EA" w:rsidP="00DC36EA">
      <w:pPr>
        <w:pStyle w:val="ListParagraph"/>
        <w:numPr>
          <w:ilvl w:val="0"/>
          <w:numId w:val="1"/>
        </w:numPr>
        <w:jc w:val="both"/>
      </w:pPr>
      <w:r>
        <w:t xml:space="preserve">Vai projekta tehniskā </w:t>
      </w:r>
      <w:proofErr w:type="spellStart"/>
      <w:r>
        <w:t>priekšzipētē</w:t>
      </w:r>
      <w:proofErr w:type="spellEnd"/>
      <w:r>
        <w:t xml:space="preserve"> būvdarbu tehniskās dokumentācijas izstrādes izmaksās var attiecināt </w:t>
      </w:r>
      <w:r w:rsidRPr="003A2B4F">
        <w:rPr>
          <w:u w:val="single"/>
        </w:rPr>
        <w:t>tehniskās specifikācijas izstrādi iepirkumam</w:t>
      </w:r>
      <w:r w:rsidRPr="003A2B4F">
        <w:t xml:space="preserve"> </w:t>
      </w:r>
      <w:r>
        <w:t>būvniecības procesa projektā vadībai un būvuzraudzībai (apmaksa no pašu līdzekļiem, ko vēlāk iekļausim projekta izmaksās)?</w:t>
      </w:r>
    </w:p>
    <w:p w:rsidR="00DC36EA" w:rsidRDefault="00DC36EA" w:rsidP="00DC36EA">
      <w:pPr>
        <w:pStyle w:val="ListParagraph"/>
        <w:numPr>
          <w:ilvl w:val="0"/>
          <w:numId w:val="1"/>
        </w:numPr>
        <w:jc w:val="both"/>
      </w:pPr>
      <w:r>
        <w:t xml:space="preserve">Viena no darbībām projektā ir plānota jaunbūve, uz kuru pārcelsim visu </w:t>
      </w:r>
      <w:r>
        <w:t>P</w:t>
      </w:r>
      <w:r>
        <w:t>ētniecības departamentu</w:t>
      </w:r>
      <w:r>
        <w:t xml:space="preserve"> X</w:t>
      </w:r>
      <w:bookmarkStart w:id="0" w:name="_GoBack"/>
      <w:bookmarkEnd w:id="0"/>
      <w:r>
        <w:t xml:space="preserve">, un jaunu darba vietu izveide, saskaņā ar MK noteikumiem, pētniecības personālam – vadošajiem pētniekiem, pētniekiem un </w:t>
      </w:r>
      <w:proofErr w:type="spellStart"/>
      <w:r>
        <w:t>zin.asistentiem</w:t>
      </w:r>
      <w:proofErr w:type="spellEnd"/>
      <w:r>
        <w:t xml:space="preserve">. Vai drīkstam šajā jaunbūvē izveidot darba vietas arī zinātni apkalpojošam personālam (IT, arhivāri, bibliotekāri, projektu nodaļa, plānošana u.c.)? Projekts ir ar saimniecisku darbību nesaistīts. </w:t>
      </w:r>
    </w:p>
    <w:p w:rsidR="00DC36EA" w:rsidRDefault="00DC36EA" w:rsidP="00DC36EA">
      <w:pPr>
        <w:jc w:val="both"/>
      </w:pPr>
    </w:p>
    <w:p w:rsidR="00DC36EA" w:rsidRDefault="00DC36EA" w:rsidP="00DC36EA">
      <w:pPr>
        <w:jc w:val="both"/>
      </w:pPr>
    </w:p>
    <w:p w:rsidR="00DC36EA" w:rsidRDefault="00DC36EA" w:rsidP="00DC36EA">
      <w:pPr>
        <w:jc w:val="both"/>
      </w:pPr>
      <w:r>
        <w:t>Atbildes:</w:t>
      </w:r>
    </w:p>
    <w:p w:rsidR="00DC36EA" w:rsidRDefault="00DC36EA" w:rsidP="00DC36EA">
      <w:pPr>
        <w:jc w:val="both"/>
      </w:pPr>
    </w:p>
    <w:p w:rsidR="00DC36EA" w:rsidRPr="009739E4" w:rsidRDefault="00DC36EA" w:rsidP="00DC36EA">
      <w:pPr>
        <w:pStyle w:val="ListParagraph"/>
        <w:numPr>
          <w:ilvl w:val="1"/>
          <w:numId w:val="1"/>
        </w:numPr>
        <w:jc w:val="both"/>
        <w:rPr>
          <w:rFonts w:ascii="Times New Roman" w:hAnsi="Times New Roman"/>
          <w:sz w:val="24"/>
          <w:szCs w:val="24"/>
        </w:rPr>
      </w:pPr>
      <w:r w:rsidRPr="009739E4">
        <w:rPr>
          <w:rFonts w:ascii="Times New Roman" w:hAnsi="Times New Roman"/>
          <w:b/>
          <w:i/>
          <w:sz w:val="24"/>
          <w:szCs w:val="24"/>
        </w:rPr>
        <w:t>Pētnieku skaits</w:t>
      </w:r>
      <w:r w:rsidRPr="009739E4">
        <w:rPr>
          <w:rFonts w:ascii="Times New Roman" w:hAnsi="Times New Roman"/>
          <w:i/>
          <w:sz w:val="24"/>
          <w:szCs w:val="24"/>
        </w:rPr>
        <w:t xml:space="preserve"> - </w:t>
      </w:r>
      <w:r w:rsidRPr="009739E4">
        <w:rPr>
          <w:rFonts w:ascii="Times New Roman" w:hAnsi="Times New Roman"/>
          <w:sz w:val="24"/>
          <w:szCs w:val="24"/>
        </w:rPr>
        <w:t>Vadošo pētnieku, pētnieku, zinātnisko asistentu un zinātnes tehniskā personāla skaits, kuri strādās uzlabotos pētniecības infrastruktūras objektos.</w:t>
      </w:r>
    </w:p>
    <w:p w:rsidR="00DC36EA" w:rsidRPr="00B06ED9" w:rsidRDefault="00DC36EA" w:rsidP="00DC36EA">
      <w:pPr>
        <w:jc w:val="both"/>
        <w:rPr>
          <w:rFonts w:ascii="Times New Roman" w:hAnsi="Times New Roman"/>
          <w:sz w:val="24"/>
          <w:szCs w:val="24"/>
        </w:rPr>
      </w:pPr>
    </w:p>
    <w:p w:rsidR="00DC36EA" w:rsidRPr="00B06ED9" w:rsidRDefault="00DC36EA" w:rsidP="00DC36EA">
      <w:pPr>
        <w:pStyle w:val="ListParagraph"/>
        <w:spacing w:line="254" w:lineRule="auto"/>
        <w:ind w:left="426" w:right="140"/>
        <w:contextualSpacing/>
        <w:jc w:val="both"/>
        <w:rPr>
          <w:rFonts w:ascii="Times New Roman" w:hAnsi="Times New Roman"/>
          <w:i/>
          <w:sz w:val="24"/>
          <w:szCs w:val="24"/>
        </w:rPr>
      </w:pPr>
      <w:r w:rsidRPr="00B06ED9">
        <w:rPr>
          <w:rFonts w:ascii="Times New Roman" w:hAnsi="Times New Roman"/>
          <w:i/>
          <w:sz w:val="24"/>
          <w:szCs w:val="24"/>
        </w:rPr>
        <w:t xml:space="preserve">Projekta iesnieguma 1.6.1.punkta 1.punktā un 2.punktā norādītie sasniedzamie projekta iznākuma rādītāji izriet no MK noteikumu 6.1.1. un 6.1.2. apakšpunktā definētajiem SAM pasākuma iznākuma rādītājiem. </w:t>
      </w:r>
      <w:r w:rsidRPr="00B06ED9">
        <w:rPr>
          <w:rFonts w:ascii="Times New Roman" w:hAnsi="Times New Roman"/>
          <w:b/>
          <w:i/>
          <w:sz w:val="24"/>
          <w:szCs w:val="24"/>
        </w:rPr>
        <w:t xml:space="preserve">Ja projekta ietvaros līdz 2018.gada 31.decembrim iznākuma rādītāja </w:t>
      </w:r>
      <w:proofErr w:type="spellStart"/>
      <w:r w:rsidRPr="00B06ED9">
        <w:rPr>
          <w:rFonts w:ascii="Times New Roman" w:hAnsi="Times New Roman"/>
          <w:b/>
          <w:i/>
          <w:sz w:val="24"/>
          <w:szCs w:val="24"/>
        </w:rPr>
        <w:t>starpvērtību</w:t>
      </w:r>
      <w:proofErr w:type="spellEnd"/>
      <w:r w:rsidRPr="00B06ED9">
        <w:rPr>
          <w:rFonts w:ascii="Times New Roman" w:hAnsi="Times New Roman"/>
          <w:b/>
          <w:i/>
          <w:sz w:val="24"/>
          <w:szCs w:val="24"/>
        </w:rPr>
        <w:t xml:space="preserve"> nav paredzēts sasniegt, tad attiecīgajā kolonnā ieraksta svītru</w:t>
      </w:r>
      <w:r w:rsidRPr="00B06ED9">
        <w:rPr>
          <w:rStyle w:val="FootnoteReference"/>
          <w:rFonts w:ascii="Times New Roman" w:hAnsi="Times New Roman"/>
          <w:i/>
          <w:sz w:val="24"/>
          <w:szCs w:val="24"/>
        </w:rPr>
        <w:footnoteReference w:id="1"/>
      </w:r>
      <w:r w:rsidRPr="00B06ED9">
        <w:rPr>
          <w:rFonts w:ascii="Times New Roman" w:hAnsi="Times New Roman"/>
          <w:i/>
          <w:sz w:val="24"/>
          <w:szCs w:val="24"/>
        </w:rPr>
        <w:t>.</w:t>
      </w:r>
    </w:p>
    <w:p w:rsidR="00DC36EA" w:rsidRPr="00B06ED9" w:rsidRDefault="00DC36EA" w:rsidP="00DC36EA">
      <w:pPr>
        <w:pStyle w:val="ListParagraph"/>
        <w:spacing w:line="254" w:lineRule="auto"/>
        <w:ind w:left="426" w:right="140"/>
        <w:contextualSpacing/>
        <w:jc w:val="both"/>
        <w:rPr>
          <w:rFonts w:ascii="Times New Roman" w:hAnsi="Times New Roman"/>
          <w:sz w:val="24"/>
          <w:szCs w:val="24"/>
        </w:rPr>
      </w:pPr>
      <w:r w:rsidRPr="00B06ED9">
        <w:rPr>
          <w:rFonts w:ascii="Times New Roman" w:hAnsi="Times New Roman"/>
          <w:sz w:val="24"/>
          <w:szCs w:val="24"/>
        </w:rPr>
        <w:t xml:space="preserve">Šajā rādītājā jānorāda un jāuzskaita visi pētnieki, kuri strādās ar uzlaboto </w:t>
      </w:r>
      <w:r w:rsidRPr="00B06ED9">
        <w:rPr>
          <w:rFonts w:ascii="Times New Roman" w:hAnsi="Times New Roman"/>
          <w:sz w:val="24"/>
          <w:szCs w:val="24"/>
          <w:u w:val="single"/>
        </w:rPr>
        <w:t>infrastruktūru, arī iegādātām iekārtām</w:t>
      </w:r>
      <w:r w:rsidRPr="00B06ED9">
        <w:rPr>
          <w:rFonts w:ascii="Times New Roman" w:hAnsi="Times New Roman"/>
          <w:sz w:val="24"/>
          <w:szCs w:val="24"/>
        </w:rPr>
        <w:t>, jo saskaņā ar MK noteikumu2.13. punktu pētniecības infrastruktūra ir arī iekārtas, resursi un saistītie pakalpojumi u.c. atbilstoši Komisijas regulas Nr. 651/2014 2.panta 91.punktā noteiktajam:</w:t>
      </w:r>
    </w:p>
    <w:p w:rsidR="00DC36EA" w:rsidRPr="00B06ED9" w:rsidRDefault="00DC36EA" w:rsidP="00DC36EA">
      <w:pPr>
        <w:pStyle w:val="ListParagraph"/>
        <w:spacing w:line="254" w:lineRule="auto"/>
        <w:ind w:left="426" w:right="140"/>
        <w:contextualSpacing/>
        <w:jc w:val="both"/>
        <w:rPr>
          <w:rFonts w:ascii="Times New Roman" w:hAnsi="Times New Roman"/>
          <w:sz w:val="24"/>
          <w:szCs w:val="24"/>
        </w:rPr>
      </w:pPr>
    </w:p>
    <w:p w:rsidR="00DC36EA" w:rsidRPr="00B06ED9" w:rsidRDefault="00DC36EA" w:rsidP="00DC36EA">
      <w:pPr>
        <w:pStyle w:val="ListParagraph"/>
        <w:spacing w:line="254" w:lineRule="auto"/>
        <w:ind w:left="426" w:right="140"/>
        <w:contextualSpacing/>
        <w:jc w:val="both"/>
        <w:rPr>
          <w:rFonts w:ascii="Times New Roman" w:hAnsi="Times New Roman"/>
          <w:sz w:val="24"/>
          <w:szCs w:val="24"/>
        </w:rPr>
      </w:pPr>
      <w:r w:rsidRPr="00B06ED9">
        <w:rPr>
          <w:rFonts w:ascii="Times New Roman" w:hAnsi="Times New Roman"/>
          <w:i/>
          <w:sz w:val="24"/>
          <w:szCs w:val="24"/>
        </w:rPr>
        <w:t>“</w:t>
      </w:r>
      <w:r w:rsidRPr="00B06ED9">
        <w:rPr>
          <w:rFonts w:ascii="Times New Roman" w:hAnsi="Times New Roman"/>
          <w:i/>
          <w:color w:val="000000"/>
          <w:sz w:val="24"/>
          <w:szCs w:val="24"/>
        </w:rPr>
        <w:t xml:space="preserve">“pētniecības infrastruktūra” ir telpas un iekārtas, resursi un saistītie pakalpojumi, ko zinātnieki izmanto, lai veiktu pētniecību attiecīgajās jomās, un tā ietver zinātniskās iekārtas un instrumentu komplektus, uz zināšanām balstītus resursus, piemēram, kolekcijas, arhīvus vai strukturētu zinātnisku informāciju, informācijas un komunikāciju tehnoloģijas infrastruktūru, piemēram, </w:t>
      </w:r>
      <w:r w:rsidRPr="00B06ED9">
        <w:rPr>
          <w:rStyle w:val="italic"/>
          <w:rFonts w:ascii="Times New Roman" w:hAnsi="Times New Roman"/>
          <w:color w:val="000000"/>
          <w:sz w:val="24"/>
          <w:szCs w:val="24"/>
        </w:rPr>
        <w:t>GRID</w:t>
      </w:r>
      <w:r w:rsidRPr="00B06ED9">
        <w:rPr>
          <w:rFonts w:ascii="Times New Roman" w:hAnsi="Times New Roman"/>
          <w:i/>
          <w:color w:val="000000"/>
          <w:sz w:val="24"/>
          <w:szCs w:val="24"/>
        </w:rPr>
        <w:t xml:space="preserve"> tipa tīmekli, datortehniku, programmatūru un sakaru tehniku, vai ikvienu citu līdzekli, kurš ir būtisks pētniecības veikšanai. Šī infrastruktūra var būt izvietota vienkopus vai izkliedēta (organizēts resursu tīkls) saskaņā ar 2. panta a) punktu Padomes </w:t>
      </w:r>
      <w:r w:rsidRPr="00B06ED9">
        <w:rPr>
          <w:rFonts w:ascii="Times New Roman" w:hAnsi="Times New Roman"/>
          <w:i/>
          <w:color w:val="000000"/>
          <w:sz w:val="24"/>
          <w:szCs w:val="24"/>
        </w:rPr>
        <w:lastRenderedPageBreak/>
        <w:t>2009. gada 25. jūnija Regulā (EK) Nr. 723/2009 par Kopienas tiesisko regulējumu, ko piemēro Eiropas pētniecības infrastruktūras konsorcijam (</w:t>
      </w:r>
      <w:r w:rsidRPr="00B06ED9">
        <w:rPr>
          <w:rStyle w:val="italic"/>
          <w:rFonts w:ascii="Times New Roman" w:hAnsi="Times New Roman"/>
          <w:color w:val="000000"/>
          <w:sz w:val="24"/>
          <w:szCs w:val="24"/>
        </w:rPr>
        <w:t>ERIC</w:t>
      </w:r>
      <w:r w:rsidRPr="00B06ED9">
        <w:rPr>
          <w:rFonts w:ascii="Times New Roman" w:hAnsi="Times New Roman"/>
          <w:color w:val="000000"/>
          <w:sz w:val="24"/>
          <w:szCs w:val="24"/>
        </w:rPr>
        <w:t>)</w:t>
      </w:r>
      <w:hyperlink r:id="rId7" w:anchor="ntr40-L_2014187LV.01000101-E0040" w:history="1">
        <w:r w:rsidRPr="00B06ED9">
          <w:rPr>
            <w:rStyle w:val="Hyperlink"/>
            <w:rFonts w:ascii="Times New Roman" w:hAnsi="Times New Roman"/>
            <w:sz w:val="24"/>
            <w:szCs w:val="24"/>
          </w:rPr>
          <w:t> (</w:t>
        </w:r>
        <w:r w:rsidRPr="00B06ED9">
          <w:rPr>
            <w:rStyle w:val="super"/>
            <w:rFonts w:ascii="Times New Roman" w:hAnsi="Times New Roman"/>
            <w:color w:val="0000FF"/>
            <w:sz w:val="24"/>
            <w:szCs w:val="24"/>
            <w:u w:val="single"/>
          </w:rPr>
          <w:t>40</w:t>
        </w:r>
        <w:r w:rsidRPr="00B06ED9">
          <w:rPr>
            <w:rStyle w:val="Hyperlink"/>
            <w:rFonts w:ascii="Times New Roman" w:hAnsi="Times New Roman"/>
            <w:sz w:val="24"/>
            <w:szCs w:val="24"/>
          </w:rPr>
          <w:t>)</w:t>
        </w:r>
      </w:hyperlink>
      <w:r w:rsidRPr="00B06ED9">
        <w:rPr>
          <w:rFonts w:ascii="Times New Roman" w:hAnsi="Times New Roman"/>
          <w:color w:val="000000"/>
          <w:sz w:val="24"/>
          <w:szCs w:val="24"/>
        </w:rPr>
        <w:t>;</w:t>
      </w:r>
    </w:p>
    <w:p w:rsidR="00DC36EA" w:rsidRPr="00B06ED9" w:rsidRDefault="00DC36EA" w:rsidP="00DC36EA">
      <w:pPr>
        <w:spacing w:line="254" w:lineRule="auto"/>
        <w:ind w:right="140" w:firstLine="426"/>
        <w:contextualSpacing/>
        <w:jc w:val="both"/>
        <w:rPr>
          <w:rFonts w:ascii="Times New Roman" w:hAnsi="Times New Roman"/>
          <w:i/>
          <w:sz w:val="24"/>
          <w:szCs w:val="24"/>
        </w:rPr>
      </w:pPr>
    </w:p>
    <w:p w:rsidR="00DC36EA" w:rsidRPr="00B06ED9" w:rsidRDefault="00DC36EA" w:rsidP="00DC36EA">
      <w:pPr>
        <w:spacing w:line="254" w:lineRule="auto"/>
        <w:ind w:left="426" w:right="140"/>
        <w:contextualSpacing/>
        <w:jc w:val="both"/>
        <w:rPr>
          <w:rFonts w:ascii="Times New Roman" w:hAnsi="Times New Roman"/>
          <w:sz w:val="24"/>
          <w:szCs w:val="24"/>
        </w:rPr>
      </w:pPr>
      <w:r w:rsidRPr="00B06ED9">
        <w:rPr>
          <w:rFonts w:ascii="Times New Roman" w:hAnsi="Times New Roman"/>
          <w:sz w:val="24"/>
          <w:szCs w:val="24"/>
        </w:rPr>
        <w:t>Papildu informācijas iegūšanai par projekta iesnieguma aizpildīšanu, iesakām skatīt Projekta iesnieguma veidlapas aizpildīšanas metodiku</w:t>
      </w:r>
      <w:r w:rsidRPr="00B06ED9">
        <w:rPr>
          <w:rFonts w:ascii="Times New Roman" w:hAnsi="Times New Roman"/>
          <w:sz w:val="24"/>
          <w:szCs w:val="24"/>
          <w:vertAlign w:val="superscript"/>
        </w:rPr>
        <w:t>1</w:t>
      </w:r>
      <w:r w:rsidRPr="00B06ED9">
        <w:rPr>
          <w:rFonts w:ascii="Times New Roman" w:hAnsi="Times New Roman"/>
          <w:sz w:val="24"/>
          <w:szCs w:val="24"/>
        </w:rPr>
        <w:t>.</w:t>
      </w:r>
    </w:p>
    <w:p w:rsidR="00DC36EA" w:rsidRPr="00B06ED9" w:rsidRDefault="00DC36EA" w:rsidP="00DC36EA">
      <w:pPr>
        <w:jc w:val="both"/>
        <w:rPr>
          <w:rFonts w:ascii="Times New Roman" w:hAnsi="Times New Roman"/>
          <w:sz w:val="24"/>
          <w:szCs w:val="24"/>
        </w:rPr>
      </w:pPr>
    </w:p>
    <w:p w:rsidR="00DC36EA" w:rsidRPr="00B06ED9" w:rsidRDefault="00DC36EA" w:rsidP="00DC36EA">
      <w:pPr>
        <w:pStyle w:val="tv213"/>
        <w:numPr>
          <w:ilvl w:val="1"/>
          <w:numId w:val="1"/>
        </w:numPr>
        <w:spacing w:before="0" w:beforeAutospacing="0" w:after="0" w:afterAutospacing="0" w:line="293" w:lineRule="atLeast"/>
        <w:jc w:val="both"/>
        <w:rPr>
          <w:color w:val="414142"/>
        </w:rPr>
      </w:pPr>
      <w:r w:rsidRPr="00B06ED9">
        <w:rPr>
          <w:color w:val="414142"/>
        </w:rPr>
        <w:t xml:space="preserve">Jūsu jautājuma kontekstā, saskaņā ar MK noteikumu Nr.562 29.punktu “Projekta tehniskās </w:t>
      </w:r>
      <w:proofErr w:type="spellStart"/>
      <w:r w:rsidRPr="00B06ED9">
        <w:rPr>
          <w:color w:val="414142"/>
        </w:rPr>
        <w:t>priekšizpētes</w:t>
      </w:r>
      <w:proofErr w:type="spellEnd"/>
      <w:r w:rsidRPr="00B06ED9">
        <w:rPr>
          <w:color w:val="414142"/>
        </w:rPr>
        <w:t xml:space="preserve"> ietvaros tiešās attiecināmās izmaksas var veidot šādas izmaksu pozīcijas:</w:t>
      </w:r>
    </w:p>
    <w:p w:rsidR="00DC36EA" w:rsidRPr="00B06ED9" w:rsidRDefault="00DC36EA" w:rsidP="00DC36EA">
      <w:pPr>
        <w:pStyle w:val="tv213"/>
        <w:spacing w:before="0" w:beforeAutospacing="0" w:after="0" w:afterAutospacing="0" w:line="293" w:lineRule="atLeast"/>
        <w:ind w:left="1440"/>
        <w:jc w:val="both"/>
        <w:rPr>
          <w:color w:val="414142"/>
        </w:rPr>
      </w:pPr>
      <w:r w:rsidRPr="00B06ED9">
        <w:rPr>
          <w:color w:val="414142"/>
        </w:rPr>
        <w:t>…..</w:t>
      </w:r>
    </w:p>
    <w:p w:rsidR="00DC36EA" w:rsidRPr="00B06ED9" w:rsidRDefault="00DC36EA" w:rsidP="00DC36EA">
      <w:pPr>
        <w:pStyle w:val="tv213"/>
        <w:spacing w:before="0" w:beforeAutospacing="0" w:after="0" w:afterAutospacing="0" w:line="293" w:lineRule="atLeast"/>
        <w:ind w:left="1440"/>
        <w:jc w:val="both"/>
        <w:rPr>
          <w:i/>
          <w:color w:val="414142"/>
        </w:rPr>
      </w:pPr>
      <w:r w:rsidRPr="00B06ED9">
        <w:rPr>
          <w:i/>
          <w:color w:val="414142"/>
        </w:rPr>
        <w:t>29.5.</w:t>
      </w:r>
      <w:r w:rsidRPr="00B06ED9">
        <w:rPr>
          <w:b/>
          <w:i/>
          <w:color w:val="414142"/>
        </w:rPr>
        <w:t>pētniecības infrastruktūras pilnveides vai modernizācijas iepirkumu   dokumentācijas izstrādes izmaksas</w:t>
      </w:r>
      <w:r w:rsidRPr="00B06ED9">
        <w:rPr>
          <w:i/>
          <w:color w:val="414142"/>
        </w:rPr>
        <w:t>.”</w:t>
      </w:r>
    </w:p>
    <w:p w:rsidR="00DC36EA" w:rsidRPr="00B06ED9" w:rsidRDefault="00DC36EA" w:rsidP="00DC36EA">
      <w:pPr>
        <w:pStyle w:val="tv213"/>
        <w:spacing w:before="0" w:beforeAutospacing="0" w:after="0" w:afterAutospacing="0" w:line="293" w:lineRule="atLeast"/>
        <w:ind w:left="600"/>
        <w:jc w:val="both"/>
        <w:rPr>
          <w:color w:val="414142"/>
        </w:rPr>
      </w:pPr>
    </w:p>
    <w:p w:rsidR="00DC36EA" w:rsidRPr="00B06ED9" w:rsidRDefault="00DC36EA" w:rsidP="00DC36EA">
      <w:pPr>
        <w:pStyle w:val="tv213"/>
        <w:spacing w:before="0" w:beforeAutospacing="0" w:after="0" w:afterAutospacing="0" w:line="293" w:lineRule="atLeast"/>
        <w:ind w:left="600"/>
        <w:jc w:val="both"/>
        <w:rPr>
          <w:color w:val="414142"/>
        </w:rPr>
      </w:pPr>
      <w:r w:rsidRPr="00B06ED9">
        <w:rPr>
          <w:color w:val="414142"/>
        </w:rPr>
        <w:t xml:space="preserve">Tā kā Jūs jautājat par izmaksu attiecināšanu, kas saistītas ar </w:t>
      </w:r>
      <w:r w:rsidRPr="00B06ED9">
        <w:rPr>
          <w:u w:val="single"/>
        </w:rPr>
        <w:t>tehniskās specifikācijas izstrādi iepirkumam</w:t>
      </w:r>
      <w:r w:rsidRPr="00B06ED9">
        <w:t>, tad šī darbība ir</w:t>
      </w:r>
      <w:r w:rsidRPr="00B06ED9">
        <w:rPr>
          <w:u w:val="single"/>
        </w:rPr>
        <w:t xml:space="preserve"> saistāma ar MK noteikumu Nr562 29.5.punktu</w:t>
      </w:r>
      <w:r w:rsidRPr="00B06ED9">
        <w:t xml:space="preserve">, tas ir </w:t>
      </w:r>
      <w:r w:rsidRPr="00B06ED9">
        <w:rPr>
          <w:color w:val="414142"/>
        </w:rPr>
        <w:t>iepirkumu  dokumentācijas izstrādi.</w:t>
      </w:r>
    </w:p>
    <w:p w:rsidR="00DC36EA" w:rsidRPr="00B06ED9" w:rsidRDefault="00DC36EA" w:rsidP="00DC36EA">
      <w:pPr>
        <w:pStyle w:val="ListParagraph"/>
        <w:ind w:left="1440"/>
        <w:jc w:val="both"/>
        <w:rPr>
          <w:rFonts w:ascii="Times New Roman" w:hAnsi="Times New Roman"/>
          <w:sz w:val="24"/>
          <w:szCs w:val="24"/>
        </w:rPr>
      </w:pPr>
    </w:p>
    <w:p w:rsidR="00DC36EA" w:rsidRPr="00B06ED9" w:rsidRDefault="00DC36EA" w:rsidP="00DC36EA">
      <w:pPr>
        <w:pStyle w:val="ListParagraph"/>
        <w:numPr>
          <w:ilvl w:val="1"/>
          <w:numId w:val="1"/>
        </w:numPr>
        <w:jc w:val="both"/>
        <w:rPr>
          <w:rFonts w:ascii="Times New Roman" w:hAnsi="Times New Roman"/>
          <w:sz w:val="24"/>
          <w:szCs w:val="24"/>
        </w:rPr>
      </w:pPr>
      <w:r w:rsidRPr="00B06ED9">
        <w:rPr>
          <w:rFonts w:ascii="Times New Roman" w:hAnsi="Times New Roman"/>
          <w:sz w:val="24"/>
          <w:szCs w:val="24"/>
        </w:rPr>
        <w:t xml:space="preserve">Jā, jaunbūvē drīkst izveidot darba vietas arī zinātni apkalpojošam personālam (IT, arhivāri, bibliotekāri, projektu nodaļa, plānošana), tomēr vēršam uzmanību, ka ne visas no šīm jaunu darba vietu radīšanas izmaksām būs attiecināmas no projekta līdzekļiem.  </w:t>
      </w:r>
    </w:p>
    <w:p w:rsidR="00DC36EA" w:rsidRPr="00B06ED9" w:rsidRDefault="00DC36EA" w:rsidP="00DC36EA">
      <w:pPr>
        <w:jc w:val="both"/>
        <w:rPr>
          <w:rFonts w:ascii="Times New Roman" w:hAnsi="Times New Roman"/>
          <w:sz w:val="24"/>
          <w:szCs w:val="24"/>
        </w:rPr>
      </w:pPr>
    </w:p>
    <w:p w:rsidR="00DC36EA" w:rsidRPr="0097468F" w:rsidRDefault="00DC36EA" w:rsidP="00DC36EA">
      <w:pPr>
        <w:ind w:left="720"/>
        <w:jc w:val="both"/>
        <w:rPr>
          <w:rFonts w:ascii="Times New Roman" w:hAnsi="Times New Roman"/>
          <w:color w:val="414142"/>
          <w:sz w:val="24"/>
          <w:szCs w:val="24"/>
          <w:shd w:val="clear" w:color="auto" w:fill="FFFFFF"/>
        </w:rPr>
      </w:pPr>
      <w:r w:rsidRPr="0097468F">
        <w:rPr>
          <w:rFonts w:ascii="Times New Roman" w:hAnsi="Times New Roman"/>
          <w:sz w:val="24"/>
          <w:szCs w:val="24"/>
        </w:rPr>
        <w:t>Saskaņā ar MK noteikumu 562 38.3.p-tu attiecināmas ir izmaksas, “</w:t>
      </w:r>
      <w:r w:rsidRPr="00B06ED9">
        <w:rPr>
          <w:rFonts w:ascii="Times New Roman" w:hAnsi="Times New Roman"/>
          <w:i/>
          <w:color w:val="414142"/>
          <w:sz w:val="24"/>
          <w:szCs w:val="24"/>
          <w:shd w:val="clear" w:color="auto" w:fill="FFFFFF"/>
        </w:rPr>
        <w:t>jaunu darba vietu radīšanai vai esošo darba vietu atjaunošanai nepieciešamā aprīkojuma (biroja mēbeles un tehnika, datorprogrammas un licences) iegādes izmaksas. Darba vietas aprīkojuma iegādes izmaksas, tai skaitā aprīkojuma uzturēšanas un remonta izmaksas, attiecināmas ne vairāk kā 3000</w:t>
      </w:r>
      <w:r w:rsidRPr="00B06ED9">
        <w:rPr>
          <w:rStyle w:val="apple-converted-space"/>
          <w:rFonts w:ascii="Times New Roman" w:hAnsi="Times New Roman"/>
          <w:color w:val="414142"/>
          <w:sz w:val="24"/>
          <w:szCs w:val="24"/>
          <w:shd w:val="clear" w:color="auto" w:fill="FFFFFF"/>
        </w:rPr>
        <w:t> </w:t>
      </w:r>
      <w:proofErr w:type="spellStart"/>
      <w:r w:rsidRPr="00B06ED9">
        <w:rPr>
          <w:rFonts w:ascii="Times New Roman" w:hAnsi="Times New Roman"/>
          <w:i/>
          <w:iCs/>
          <w:color w:val="414142"/>
          <w:sz w:val="24"/>
          <w:szCs w:val="24"/>
          <w:shd w:val="clear" w:color="auto" w:fill="FFFFFF"/>
        </w:rPr>
        <w:t>euro</w:t>
      </w:r>
      <w:proofErr w:type="spellEnd"/>
      <w:r w:rsidRPr="00B06ED9">
        <w:rPr>
          <w:rStyle w:val="apple-converted-space"/>
          <w:rFonts w:ascii="Times New Roman" w:hAnsi="Times New Roman"/>
          <w:color w:val="414142"/>
          <w:sz w:val="24"/>
          <w:szCs w:val="24"/>
          <w:shd w:val="clear" w:color="auto" w:fill="FFFFFF"/>
        </w:rPr>
        <w:t> </w:t>
      </w:r>
      <w:r w:rsidRPr="00B06ED9">
        <w:rPr>
          <w:rFonts w:ascii="Times New Roman" w:hAnsi="Times New Roman"/>
          <w:i/>
          <w:color w:val="414142"/>
          <w:sz w:val="24"/>
          <w:szCs w:val="24"/>
          <w:shd w:val="clear" w:color="auto" w:fill="FFFFFF"/>
        </w:rPr>
        <w:t xml:space="preserve">apmērā vienai darba vietai visā projekta īstenošanas laikā. Ja </w:t>
      </w:r>
      <w:r w:rsidRPr="00B06ED9">
        <w:rPr>
          <w:rFonts w:ascii="Times New Roman" w:hAnsi="Times New Roman"/>
          <w:b/>
          <w:i/>
          <w:color w:val="414142"/>
          <w:sz w:val="24"/>
          <w:szCs w:val="24"/>
          <w:u w:val="single"/>
          <w:shd w:val="clear" w:color="auto" w:fill="FFFFFF"/>
        </w:rPr>
        <w:t>projekta vadības</w:t>
      </w:r>
      <w:r w:rsidRPr="00B06ED9">
        <w:rPr>
          <w:rFonts w:ascii="Times New Roman" w:hAnsi="Times New Roman"/>
          <w:i/>
          <w:color w:val="414142"/>
          <w:sz w:val="24"/>
          <w:szCs w:val="24"/>
          <w:shd w:val="clear" w:color="auto" w:fill="FFFFFF"/>
        </w:rPr>
        <w:t xml:space="preserve"> un </w:t>
      </w:r>
      <w:r w:rsidRPr="00B06ED9">
        <w:rPr>
          <w:rFonts w:ascii="Times New Roman" w:hAnsi="Times New Roman"/>
          <w:b/>
          <w:i/>
          <w:color w:val="414142"/>
          <w:sz w:val="24"/>
          <w:szCs w:val="24"/>
          <w:u w:val="single"/>
          <w:shd w:val="clear" w:color="auto" w:fill="FFFFFF"/>
        </w:rPr>
        <w:t>īstenošanas personāls</w:t>
      </w:r>
      <w:r w:rsidRPr="00B06ED9">
        <w:rPr>
          <w:rFonts w:ascii="Times New Roman" w:hAnsi="Times New Roman"/>
          <w:i/>
          <w:color w:val="414142"/>
          <w:sz w:val="24"/>
          <w:szCs w:val="24"/>
          <w:shd w:val="clear" w:color="auto" w:fill="FFFFFF"/>
        </w:rPr>
        <w:t xml:space="preserve"> ir nodarbināts normālo darba laiku, darba vietas aprīkojuma iegādes izmaksas ir attiecināmas 100 procentu apmērā. Ja personāls ir nodarbināts nepilnu darba laiku vai </w:t>
      </w:r>
      <w:proofErr w:type="spellStart"/>
      <w:r w:rsidRPr="00B06ED9">
        <w:rPr>
          <w:rFonts w:ascii="Times New Roman" w:hAnsi="Times New Roman"/>
          <w:i/>
          <w:color w:val="414142"/>
          <w:sz w:val="24"/>
          <w:szCs w:val="24"/>
          <w:shd w:val="clear" w:color="auto" w:fill="FFFFFF"/>
        </w:rPr>
        <w:t>daļlaiku</w:t>
      </w:r>
      <w:proofErr w:type="spellEnd"/>
      <w:r w:rsidRPr="00B06ED9">
        <w:rPr>
          <w:rFonts w:ascii="Times New Roman" w:hAnsi="Times New Roman"/>
          <w:i/>
          <w:color w:val="414142"/>
          <w:sz w:val="24"/>
          <w:szCs w:val="24"/>
          <w:shd w:val="clear" w:color="auto" w:fill="FFFFFF"/>
        </w:rPr>
        <w:t>, darba vietas aprīkojuma iegādes izmaksas ir attiecināmas proporcionāli slodzes procentuālajam sadalījumam</w:t>
      </w:r>
      <w:r w:rsidRPr="0097468F">
        <w:rPr>
          <w:rFonts w:ascii="Times New Roman" w:hAnsi="Times New Roman"/>
          <w:color w:val="414142"/>
          <w:sz w:val="24"/>
          <w:szCs w:val="24"/>
          <w:shd w:val="clear" w:color="auto" w:fill="FFFFFF"/>
        </w:rPr>
        <w:t>.</w:t>
      </w:r>
      <w:r>
        <w:rPr>
          <w:rFonts w:ascii="Times New Roman" w:hAnsi="Times New Roman"/>
          <w:color w:val="414142"/>
          <w:sz w:val="24"/>
          <w:szCs w:val="24"/>
          <w:shd w:val="clear" w:color="auto" w:fill="FFFFFF"/>
        </w:rPr>
        <w:t>”</w:t>
      </w:r>
    </w:p>
    <w:p w:rsidR="00DC36EA" w:rsidRPr="0097468F" w:rsidRDefault="00DC36EA" w:rsidP="00DC36EA">
      <w:pPr>
        <w:jc w:val="both"/>
        <w:rPr>
          <w:rFonts w:ascii="Times New Roman" w:hAnsi="Times New Roman"/>
          <w:sz w:val="24"/>
          <w:szCs w:val="24"/>
        </w:rPr>
      </w:pPr>
    </w:p>
    <w:p w:rsidR="00DC36EA" w:rsidRDefault="00DC36EA" w:rsidP="00DC36EA">
      <w:pPr>
        <w:ind w:left="720"/>
        <w:jc w:val="both"/>
        <w:rPr>
          <w:rFonts w:ascii="Times New Roman" w:hAnsi="Times New Roman"/>
          <w:color w:val="414142"/>
          <w:sz w:val="24"/>
          <w:szCs w:val="24"/>
          <w:shd w:val="clear" w:color="auto" w:fill="FFFFFF"/>
        </w:rPr>
      </w:pPr>
      <w:r w:rsidRPr="0097468F">
        <w:rPr>
          <w:rFonts w:ascii="Times New Roman" w:hAnsi="Times New Roman"/>
          <w:sz w:val="24"/>
          <w:szCs w:val="24"/>
        </w:rPr>
        <w:t xml:space="preserve">Jūsu jautājuma kontekstā no projekta var tikt attiecinātas </w:t>
      </w:r>
      <w:r w:rsidRPr="0097468F">
        <w:rPr>
          <w:rFonts w:ascii="Times New Roman" w:hAnsi="Times New Roman"/>
          <w:b/>
          <w:sz w:val="24"/>
          <w:szCs w:val="24"/>
        </w:rPr>
        <w:t>projekta iesniegumā aprakstītās un pamatotās</w:t>
      </w:r>
      <w:r w:rsidRPr="0097468F">
        <w:rPr>
          <w:rFonts w:ascii="Times New Roman" w:hAnsi="Times New Roman"/>
          <w:sz w:val="24"/>
          <w:szCs w:val="24"/>
        </w:rPr>
        <w:t xml:space="preserve"> </w:t>
      </w:r>
      <w:r w:rsidRPr="0097468F">
        <w:rPr>
          <w:rFonts w:ascii="Times New Roman" w:hAnsi="Times New Roman"/>
          <w:sz w:val="24"/>
          <w:szCs w:val="24"/>
          <w:u w:val="single"/>
        </w:rPr>
        <w:t xml:space="preserve">projekta vadības un īstenošanas personāla komandas </w:t>
      </w:r>
      <w:r w:rsidRPr="0097468F">
        <w:rPr>
          <w:rFonts w:ascii="Times New Roman" w:hAnsi="Times New Roman"/>
          <w:color w:val="414142"/>
          <w:sz w:val="24"/>
          <w:szCs w:val="24"/>
          <w:shd w:val="clear" w:color="auto" w:fill="FFFFFF"/>
        </w:rPr>
        <w:t>jaunu darba vietu radīšanai vai esošo darba vietu atjaunošanai nepieciešamā aprīkojuma izmaksas.</w:t>
      </w:r>
    </w:p>
    <w:p w:rsidR="00DC36EA" w:rsidRDefault="00DC36EA" w:rsidP="00DC36EA">
      <w:pPr>
        <w:ind w:left="720"/>
        <w:jc w:val="both"/>
        <w:rPr>
          <w:rFonts w:ascii="Times New Roman" w:hAnsi="Times New Roman"/>
          <w:color w:val="414142"/>
          <w:sz w:val="24"/>
          <w:szCs w:val="24"/>
          <w:shd w:val="clear" w:color="auto" w:fill="FFFFFF"/>
        </w:rPr>
      </w:pPr>
    </w:p>
    <w:p w:rsidR="00DC36EA" w:rsidRPr="001C1ABB" w:rsidRDefault="00DC36EA" w:rsidP="00DC36EA">
      <w:pPr>
        <w:pStyle w:val="naisc"/>
        <w:shd w:val="clear" w:color="auto" w:fill="FFFFFF" w:themeFill="background1"/>
        <w:spacing w:before="0" w:after="0"/>
        <w:ind w:left="720"/>
        <w:jc w:val="both"/>
      </w:pPr>
      <w:r w:rsidRPr="001C1ABB">
        <w:rPr>
          <w:color w:val="414142"/>
          <w:shd w:val="clear" w:color="auto" w:fill="FFFFFF"/>
        </w:rPr>
        <w:t xml:space="preserve">Piemēram, </w:t>
      </w:r>
      <w:r w:rsidRPr="00B06ED9">
        <w:rPr>
          <w:color w:val="414142"/>
          <w:u w:val="single"/>
          <w:shd w:val="clear" w:color="auto" w:fill="FFFFFF"/>
        </w:rPr>
        <w:t>projekta īstenošanas personāls</w:t>
      </w:r>
      <w:r w:rsidRPr="001C1ABB">
        <w:rPr>
          <w:color w:val="414142"/>
          <w:shd w:val="clear" w:color="auto" w:fill="FFFFFF"/>
        </w:rPr>
        <w:t xml:space="preserve">  - “…</w:t>
      </w:r>
      <w:r>
        <w:rPr>
          <w:rStyle w:val="FootnoteReference"/>
          <w:color w:val="414142"/>
          <w:shd w:val="clear" w:color="auto" w:fill="FFFFFF"/>
        </w:rPr>
        <w:footnoteReference w:id="2"/>
      </w:r>
      <w:r w:rsidRPr="00B06ED9">
        <w:rPr>
          <w:i/>
        </w:rPr>
        <w:t xml:space="preserve">zinātnisko institūciju institucionālās kapacitātes stiprināšanas ietvaros var tikt veikta zinātniskās institūcijas reorganizācija un pievienošana citai zinātniskajai institūcijai, </w:t>
      </w:r>
      <w:r w:rsidRPr="00B06ED9">
        <w:rPr>
          <w:i/>
        </w:rPr>
        <w:lastRenderedPageBreak/>
        <w:t xml:space="preserve">attiecīgi šajā gadījumā zinātniskajai institūcijai varbūt nepieciešams </w:t>
      </w:r>
      <w:r w:rsidRPr="00B06ED9">
        <w:rPr>
          <w:i/>
          <w:u w:val="single"/>
        </w:rPr>
        <w:t>juridiska rakstura atbalsts</w:t>
      </w:r>
      <w:r w:rsidRPr="00B06ED9">
        <w:rPr>
          <w:i/>
        </w:rPr>
        <w:t xml:space="preserve"> nepieciešamās dokumentācijas izstrādei, tāpat varbūt nepieciešams </w:t>
      </w:r>
      <w:r w:rsidRPr="00B06ED9">
        <w:rPr>
          <w:i/>
          <w:u w:val="single"/>
        </w:rPr>
        <w:t>personāls, kas izstrādā jaunās funkcionālās vienības attīstības stratēģiju vai pilnveidot esošo zinātniskās institūcijas attīstības stratēģiju</w:t>
      </w:r>
      <w:r w:rsidRPr="00B06ED9">
        <w:rPr>
          <w:i/>
        </w:rPr>
        <w:t xml:space="preserve">, vai </w:t>
      </w:r>
      <w:r w:rsidRPr="00B06ED9">
        <w:rPr>
          <w:i/>
          <w:u w:val="single"/>
        </w:rPr>
        <w:t>IT speciālistu atbalsts finanšu vadības un grāmatvedības programmatūras uzstādīšanai un darbības nodrošināšanai</w:t>
      </w:r>
      <w:r w:rsidRPr="00B06ED9">
        <w:rPr>
          <w:i/>
        </w:rPr>
        <w:t>….</w:t>
      </w:r>
      <w:r w:rsidRPr="001C1ABB">
        <w:t>”</w:t>
      </w:r>
    </w:p>
    <w:p w:rsidR="00DC36EA" w:rsidRPr="0097468F" w:rsidRDefault="00DC36EA" w:rsidP="00DC36EA">
      <w:pPr>
        <w:jc w:val="both"/>
        <w:rPr>
          <w:rFonts w:ascii="Times New Roman" w:hAnsi="Times New Roman"/>
          <w:sz w:val="24"/>
          <w:szCs w:val="24"/>
        </w:rPr>
      </w:pPr>
    </w:p>
    <w:p w:rsidR="00DC36EA" w:rsidRDefault="00DC36EA" w:rsidP="00DC36EA">
      <w:pPr>
        <w:jc w:val="both"/>
      </w:pPr>
    </w:p>
    <w:p w:rsidR="00DC36EA" w:rsidRDefault="00DC36EA" w:rsidP="00DC36EA">
      <w:pPr>
        <w:jc w:val="both"/>
      </w:pPr>
    </w:p>
    <w:p w:rsidR="00DC36EA" w:rsidRDefault="00DC36EA" w:rsidP="00DC36EA">
      <w:pPr>
        <w:jc w:val="both"/>
      </w:pPr>
    </w:p>
    <w:p w:rsidR="00DC36EA" w:rsidRDefault="00DC36EA" w:rsidP="00DC36EA">
      <w:pPr>
        <w:jc w:val="both"/>
      </w:pPr>
    </w:p>
    <w:p w:rsidR="00C90375" w:rsidRDefault="00C90375"/>
    <w:sectPr w:rsidR="00C9037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6EA" w:rsidRDefault="00DC36EA" w:rsidP="00DC36EA">
      <w:r>
        <w:separator/>
      </w:r>
    </w:p>
  </w:endnote>
  <w:endnote w:type="continuationSeparator" w:id="0">
    <w:p w:rsidR="00DC36EA" w:rsidRDefault="00DC36EA" w:rsidP="00DC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6EA" w:rsidRDefault="00DC36EA" w:rsidP="00DC36EA">
      <w:r>
        <w:separator/>
      </w:r>
    </w:p>
  </w:footnote>
  <w:footnote w:type="continuationSeparator" w:id="0">
    <w:p w:rsidR="00DC36EA" w:rsidRDefault="00DC36EA" w:rsidP="00DC36EA">
      <w:r>
        <w:continuationSeparator/>
      </w:r>
    </w:p>
  </w:footnote>
  <w:footnote w:id="1">
    <w:p w:rsidR="00DC36EA" w:rsidRPr="00A42B7D" w:rsidRDefault="00DC36EA" w:rsidP="00DC36EA">
      <w:pPr>
        <w:jc w:val="both"/>
        <w:rPr>
          <w:rFonts w:ascii="Times New Roman" w:hAnsi="Times New Roman"/>
          <w:sz w:val="20"/>
          <w:szCs w:val="20"/>
        </w:rPr>
      </w:pPr>
      <w:r>
        <w:rPr>
          <w:rStyle w:val="FootnoteReference"/>
        </w:rPr>
        <w:footnoteRef/>
      </w:r>
      <w:r>
        <w:t xml:space="preserve"> </w:t>
      </w:r>
      <w:r w:rsidRPr="00A42B7D">
        <w:rPr>
          <w:rFonts w:ascii="Times New Roman" w:hAnsi="Times New Roman"/>
          <w:sz w:val="20"/>
          <w:szCs w:val="20"/>
        </w:rPr>
        <w:t xml:space="preserve">1.1.1.4. pasākuma “P&amp;A infrastruktūras attīstīšana viedās specializācijas jomās un zinātnisko </w:t>
      </w:r>
      <w:r>
        <w:rPr>
          <w:rFonts w:ascii="Times New Roman" w:hAnsi="Times New Roman"/>
          <w:sz w:val="20"/>
          <w:szCs w:val="20"/>
        </w:rPr>
        <w:t>i</w:t>
      </w:r>
      <w:r w:rsidRPr="00A42B7D">
        <w:rPr>
          <w:rFonts w:ascii="Times New Roman" w:hAnsi="Times New Roman"/>
          <w:sz w:val="20"/>
          <w:szCs w:val="20"/>
        </w:rPr>
        <w:t>nstitūciju institucionālās kapacitātes stiprināšana”</w:t>
      </w:r>
      <w:r>
        <w:rPr>
          <w:rFonts w:ascii="Times New Roman" w:hAnsi="Times New Roman"/>
          <w:sz w:val="20"/>
          <w:szCs w:val="20"/>
        </w:rPr>
        <w:t xml:space="preserve"> </w:t>
      </w:r>
      <w:r w:rsidRPr="00A42B7D">
        <w:rPr>
          <w:rFonts w:ascii="Times New Roman" w:hAnsi="Times New Roman"/>
          <w:sz w:val="20"/>
          <w:szCs w:val="20"/>
        </w:rPr>
        <w:t>projekta iesnieguma veidlapas aizpildīšanas metodika</w:t>
      </w:r>
      <w:r>
        <w:rPr>
          <w:rFonts w:ascii="Times New Roman" w:hAnsi="Times New Roman"/>
          <w:sz w:val="20"/>
          <w:szCs w:val="20"/>
        </w:rPr>
        <w:t>, tiešsaistē pieejama:</w:t>
      </w:r>
      <w:r w:rsidRPr="00A42B7D">
        <w:t xml:space="preserve"> </w:t>
      </w:r>
      <w:r w:rsidRPr="00A42B7D">
        <w:rPr>
          <w:rFonts w:ascii="Times New Roman" w:hAnsi="Times New Roman"/>
          <w:sz w:val="20"/>
          <w:szCs w:val="20"/>
        </w:rPr>
        <w:t>http://www.cfla.gov.lv/lv/es-fondi-2014-2020/izsludinatas-atlases/1-1-1-4</w:t>
      </w:r>
    </w:p>
    <w:p w:rsidR="00DC36EA" w:rsidRDefault="00DC36EA" w:rsidP="00DC36EA">
      <w:pPr>
        <w:pStyle w:val="FootnoteText"/>
        <w:jc w:val="both"/>
      </w:pPr>
    </w:p>
  </w:footnote>
  <w:footnote w:id="2">
    <w:p w:rsidR="00DC36EA" w:rsidRPr="00003381" w:rsidRDefault="00DC36EA" w:rsidP="00DC36EA">
      <w:pPr>
        <w:contextualSpacing/>
        <w:jc w:val="both"/>
        <w:rPr>
          <w:rFonts w:ascii="Times New Roman" w:hAnsi="Times New Roman"/>
          <w:bCs/>
          <w:sz w:val="20"/>
          <w:szCs w:val="20"/>
        </w:rPr>
      </w:pPr>
      <w:r>
        <w:rPr>
          <w:rStyle w:val="FootnoteReference"/>
        </w:rPr>
        <w:footnoteRef/>
      </w:r>
      <w:r>
        <w:t xml:space="preserve"> </w:t>
      </w:r>
      <w:r w:rsidRPr="00003381">
        <w:rPr>
          <w:rFonts w:ascii="Times New Roman" w:hAnsi="Times New Roman"/>
          <w:sz w:val="20"/>
          <w:szCs w:val="20"/>
        </w:rPr>
        <w:fldChar w:fldCharType="begin"/>
      </w:r>
      <w:r w:rsidRPr="00003381">
        <w:rPr>
          <w:rFonts w:ascii="Times New Roman" w:hAnsi="Times New Roman"/>
          <w:sz w:val="20"/>
          <w:szCs w:val="20"/>
        </w:rPr>
        <w:instrText xml:space="preserve"> FILENAME   \* MERGEFORMAT </w:instrText>
      </w:r>
      <w:r w:rsidRPr="00003381">
        <w:rPr>
          <w:rFonts w:ascii="Times New Roman" w:hAnsi="Times New Roman"/>
          <w:sz w:val="20"/>
          <w:szCs w:val="20"/>
        </w:rPr>
        <w:fldChar w:fldCharType="separate"/>
      </w:r>
      <w:r w:rsidRPr="00003381">
        <w:rPr>
          <w:rFonts w:ascii="Times New Roman" w:hAnsi="Times New Roman"/>
          <w:noProof/>
          <w:sz w:val="20"/>
          <w:szCs w:val="20"/>
        </w:rPr>
        <w:t>IZMIzz_250716_1114_VSS527</w:t>
      </w:r>
      <w:r w:rsidRPr="00003381">
        <w:rPr>
          <w:rFonts w:ascii="Times New Roman" w:hAnsi="Times New Roman"/>
          <w:sz w:val="20"/>
          <w:szCs w:val="20"/>
        </w:rPr>
        <w:fldChar w:fldCharType="end"/>
      </w:r>
      <w:r w:rsidRPr="00003381">
        <w:rPr>
          <w:rFonts w:ascii="Times New Roman" w:hAnsi="Times New Roman"/>
          <w:sz w:val="20"/>
          <w:szCs w:val="20"/>
        </w:rPr>
        <w:t>; Izziņa par atzinumos sniegtajiem iebildumiem un priekšlikumiem par  Ministru kabineta noteikumu projektu "Darbības programmas "Izaugsme un nodarbinātība" 1.1.1. specifiskā atbalsta mērķa "Palielināt Latvijas zinātnisko institūciju pētniecisko un inovatīvo kapacitāti un spēju piesaistīt ārējo finansējumu, ieguldot cilvēkresursos un infrastruktūrā" 1.1.1.4. pasākuma  "P&amp;A infrastruktūras attīstīšana Viedās specializācijas jomās un zinātnisko institūciju institucionālās kapacitātes stiprināšana" īstenošanas noteikumi" īstenošanas noteikumi"</w:t>
      </w:r>
    </w:p>
    <w:p w:rsidR="00DC36EA" w:rsidRDefault="00DC36EA" w:rsidP="00DC36E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7785D"/>
    <w:multiLevelType w:val="hybridMultilevel"/>
    <w:tmpl w:val="9420078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3A"/>
    <w:rsid w:val="005A773A"/>
    <w:rsid w:val="00C90375"/>
    <w:rsid w:val="00DC36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0723B-4BC6-449F-9619-574A0487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6EA"/>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DC36EA"/>
    <w:pPr>
      <w:ind w:left="720"/>
    </w:pPr>
  </w:style>
  <w:style w:type="paragraph" w:customStyle="1" w:styleId="tv213">
    <w:name w:val="tv213"/>
    <w:basedOn w:val="Normal"/>
    <w:rsid w:val="00DC36EA"/>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DC36EA"/>
    <w:rPr>
      <w:rFonts w:ascii="Calibri" w:hAnsi="Calibri" w:cs="Times New Roman"/>
      <w:lang w:eastAsia="lv-LV"/>
    </w:rPr>
  </w:style>
  <w:style w:type="paragraph" w:styleId="FootnoteText">
    <w:name w:val="footnote text"/>
    <w:basedOn w:val="Normal"/>
    <w:link w:val="FootnoteTextChar"/>
    <w:uiPriority w:val="99"/>
    <w:semiHidden/>
    <w:unhideWhenUsed/>
    <w:rsid w:val="00DC36EA"/>
    <w:rPr>
      <w:sz w:val="20"/>
      <w:szCs w:val="20"/>
    </w:rPr>
  </w:style>
  <w:style w:type="character" w:customStyle="1" w:styleId="FootnoteTextChar">
    <w:name w:val="Footnote Text Char"/>
    <w:basedOn w:val="DefaultParagraphFont"/>
    <w:link w:val="FootnoteText"/>
    <w:uiPriority w:val="99"/>
    <w:semiHidden/>
    <w:rsid w:val="00DC36EA"/>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DC36EA"/>
    <w:rPr>
      <w:vertAlign w:val="superscript"/>
    </w:rPr>
  </w:style>
  <w:style w:type="character" w:customStyle="1" w:styleId="apple-converted-space">
    <w:name w:val="apple-converted-space"/>
    <w:basedOn w:val="DefaultParagraphFont"/>
    <w:rsid w:val="00DC36EA"/>
  </w:style>
  <w:style w:type="paragraph" w:customStyle="1" w:styleId="naisc">
    <w:name w:val="naisc"/>
    <w:basedOn w:val="Normal"/>
    <w:rsid w:val="00DC36EA"/>
    <w:pPr>
      <w:spacing w:before="75" w:after="75"/>
      <w:jc w:val="center"/>
    </w:pPr>
    <w:rPr>
      <w:rFonts w:ascii="Times New Roman" w:eastAsia="Times New Roman" w:hAnsi="Times New Roman"/>
      <w:sz w:val="24"/>
      <w:szCs w:val="24"/>
    </w:rPr>
  </w:style>
  <w:style w:type="character" w:customStyle="1" w:styleId="italic">
    <w:name w:val="italic"/>
    <w:basedOn w:val="DefaultParagraphFont"/>
    <w:rsid w:val="00DC36EA"/>
    <w:rPr>
      <w:i/>
      <w:iCs/>
    </w:rPr>
  </w:style>
  <w:style w:type="character" w:customStyle="1" w:styleId="super">
    <w:name w:val="super"/>
    <w:basedOn w:val="DefaultParagraphFont"/>
    <w:rsid w:val="00DC36EA"/>
    <w:rPr>
      <w:sz w:val="17"/>
      <w:szCs w:val="17"/>
      <w:vertAlign w:val="superscript"/>
    </w:rPr>
  </w:style>
  <w:style w:type="character" w:styleId="Hyperlink">
    <w:name w:val="Hyperlink"/>
    <w:basedOn w:val="DefaultParagraphFont"/>
    <w:uiPriority w:val="99"/>
    <w:semiHidden/>
    <w:unhideWhenUsed/>
    <w:rsid w:val="00DC3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V/TXT/HTML/?uri=CELEX:32014R0651&amp;from=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E5FDE435</Template>
  <TotalTime>5</TotalTime>
  <Pages>3</Pages>
  <Words>3509</Words>
  <Characters>2001</Characters>
  <Application>Microsoft Office Word</Application>
  <DocSecurity>0</DocSecurity>
  <Lines>16</Lines>
  <Paragraphs>10</Paragraphs>
  <ScaleCrop>false</ScaleCrop>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Šantare</dc:creator>
  <cp:keywords/>
  <dc:description/>
  <cp:lastModifiedBy>Dace Šantare</cp:lastModifiedBy>
  <cp:revision>2</cp:revision>
  <dcterms:created xsi:type="dcterms:W3CDTF">2017-04-28T10:29:00Z</dcterms:created>
  <dcterms:modified xsi:type="dcterms:W3CDTF">2017-04-28T10:34:00Z</dcterms:modified>
</cp:coreProperties>
</file>