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F45E7" w14:textId="21897C19" w:rsidR="003E55EE" w:rsidRPr="003E55EE" w:rsidRDefault="003E55EE" w:rsidP="00204801">
      <w:pPr>
        <w:spacing w:after="0" w:line="240" w:lineRule="auto"/>
        <w:jc w:val="right"/>
        <w:rPr>
          <w:rFonts w:ascii="Times New Roman" w:hAnsi="Times New Roman"/>
          <w:sz w:val="24"/>
          <w:szCs w:val="24"/>
        </w:rPr>
      </w:pPr>
      <w:r w:rsidRPr="003E55EE">
        <w:rPr>
          <w:rFonts w:ascii="Times New Roman" w:hAnsi="Times New Roman"/>
          <w:sz w:val="24"/>
          <w:szCs w:val="24"/>
        </w:rPr>
        <w:t>10.02.2016.</w:t>
      </w:r>
    </w:p>
    <w:p w14:paraId="5477DD6B" w14:textId="77777777" w:rsidR="003E55EE" w:rsidRDefault="003E55EE" w:rsidP="00204801">
      <w:pPr>
        <w:spacing w:after="0" w:line="240" w:lineRule="auto"/>
        <w:jc w:val="center"/>
        <w:rPr>
          <w:rFonts w:ascii="Times New Roman" w:hAnsi="Times New Roman"/>
          <w:b/>
          <w:sz w:val="28"/>
          <w:szCs w:val="28"/>
          <w:u w:val="single"/>
        </w:rPr>
      </w:pPr>
    </w:p>
    <w:p w14:paraId="18BA8AF2" w14:textId="77777777" w:rsidR="000C33AA" w:rsidRPr="003E55EE" w:rsidRDefault="006D1634" w:rsidP="00204801">
      <w:pPr>
        <w:spacing w:after="0" w:line="240" w:lineRule="auto"/>
        <w:jc w:val="center"/>
        <w:rPr>
          <w:rFonts w:ascii="Times New Roman" w:hAnsi="Times New Roman"/>
          <w:b/>
          <w:sz w:val="28"/>
          <w:szCs w:val="28"/>
          <w:u w:val="single"/>
        </w:rPr>
      </w:pPr>
      <w:r w:rsidRPr="003E55EE">
        <w:rPr>
          <w:rFonts w:ascii="Times New Roman" w:hAnsi="Times New Roman"/>
          <w:b/>
          <w:sz w:val="28"/>
          <w:szCs w:val="28"/>
          <w:u w:val="single"/>
        </w:rPr>
        <w:t>Projekta iesnieguma sagatavošanas</w:t>
      </w:r>
      <w:r w:rsidR="000C33AA" w:rsidRPr="003E55EE">
        <w:rPr>
          <w:rFonts w:ascii="Times New Roman" w:hAnsi="Times New Roman"/>
          <w:b/>
          <w:sz w:val="28"/>
          <w:szCs w:val="28"/>
          <w:u w:val="single"/>
        </w:rPr>
        <w:t>,</w:t>
      </w:r>
      <w:r w:rsidRPr="003E55EE">
        <w:rPr>
          <w:rFonts w:ascii="Times New Roman" w:hAnsi="Times New Roman"/>
          <w:b/>
          <w:sz w:val="28"/>
          <w:szCs w:val="28"/>
          <w:u w:val="single"/>
        </w:rPr>
        <w:t xml:space="preserve"> iesniegšanas </w:t>
      </w:r>
      <w:r w:rsidR="000C33AA" w:rsidRPr="003E55EE">
        <w:rPr>
          <w:rFonts w:ascii="Times New Roman" w:hAnsi="Times New Roman"/>
          <w:b/>
          <w:sz w:val="28"/>
          <w:szCs w:val="28"/>
          <w:u w:val="single"/>
        </w:rPr>
        <w:t>un vērtēšanas jautājumi</w:t>
      </w:r>
    </w:p>
    <w:p w14:paraId="1D276361" w14:textId="77777777" w:rsidR="000C33AA" w:rsidRPr="000C33AA" w:rsidRDefault="000C33AA" w:rsidP="00204801">
      <w:pPr>
        <w:spacing w:after="0" w:line="240" w:lineRule="auto"/>
        <w:rPr>
          <w:rFonts w:ascii="Times New Roman" w:hAnsi="Times New Roman"/>
          <w:b/>
          <w:sz w:val="24"/>
          <w:szCs w:val="24"/>
          <w:u w:val="single"/>
        </w:rPr>
      </w:pPr>
    </w:p>
    <w:p w14:paraId="0E4CCDEF" w14:textId="77777777" w:rsidR="002E5A9D" w:rsidRPr="005F32AD" w:rsidRDefault="002E5A9D" w:rsidP="00204801">
      <w:pPr>
        <w:pStyle w:val="ListParagraph"/>
        <w:numPr>
          <w:ilvl w:val="0"/>
          <w:numId w:val="15"/>
        </w:numPr>
        <w:spacing w:line="240" w:lineRule="auto"/>
        <w:jc w:val="both"/>
        <w:rPr>
          <w:rFonts w:ascii="Times New Roman" w:hAnsi="Times New Roman"/>
          <w:iCs/>
          <w:sz w:val="24"/>
          <w:szCs w:val="24"/>
        </w:rPr>
      </w:pPr>
      <w:r w:rsidRPr="005F32AD">
        <w:rPr>
          <w:rFonts w:ascii="Times New Roman" w:hAnsi="Times New Roman"/>
          <w:iCs/>
          <w:sz w:val="24"/>
          <w:szCs w:val="24"/>
        </w:rPr>
        <w:t xml:space="preserve">Būtu būtiski izveidot neatbalstāmo nozaru sarakstu pēc NACE 2 klasifikācijas, īpaši runa ir par atbildes 2.punkta e) apakšpunktu „reģionālā atbalsta kategorijām, kas izslēgtas ar 13.pantu” – lūgums uzskaitīt visas zem šī ierobežojuma esošās nozares saskaņā ar NACE 2. </w:t>
      </w:r>
    </w:p>
    <w:p w14:paraId="56112E93" w14:textId="131E2A32" w:rsidR="002E5A9D" w:rsidRPr="005F32AD" w:rsidRDefault="009A3319" w:rsidP="00204801">
      <w:pPr>
        <w:spacing w:line="240" w:lineRule="auto"/>
        <w:jc w:val="both"/>
        <w:rPr>
          <w:rFonts w:ascii="Times New Roman" w:hAnsi="Times New Roman"/>
          <w:sz w:val="24"/>
          <w:szCs w:val="24"/>
        </w:rPr>
      </w:pPr>
      <w:r w:rsidRPr="000C33AA">
        <w:rPr>
          <w:rFonts w:ascii="Times New Roman" w:hAnsi="Times New Roman"/>
          <w:b/>
          <w:sz w:val="24"/>
          <w:szCs w:val="24"/>
        </w:rPr>
        <w:t>Atbilde:</w:t>
      </w:r>
      <w:r w:rsidRPr="000C33AA">
        <w:rPr>
          <w:rFonts w:ascii="Times New Roman" w:hAnsi="Times New Roman"/>
          <w:sz w:val="24"/>
          <w:szCs w:val="24"/>
        </w:rPr>
        <w:t xml:space="preserve"> </w:t>
      </w:r>
      <w:r w:rsidR="002E5A9D" w:rsidRPr="005F32AD">
        <w:rPr>
          <w:rFonts w:ascii="Times New Roman" w:hAnsi="Times New Roman"/>
          <w:sz w:val="24"/>
          <w:szCs w:val="24"/>
        </w:rPr>
        <w:t>Atbilstoši Ministru kabineta 2015.gada 27.oktobra noteikumu Nr.617 “Darbības programmas “Izaugsme un nodarbinātība” 1.2.2.specifiskā atbalsta mērķa “Veicināt inovāciju ieviešanu komersantos” 1.2.2.1.pasākums ”Atbalsts nodarbināto apmācībām” pirmās projektu iesniegumu atlases kārtas īstenošanas noteikumi” (turpmāk – MK noteikumi) 14.punktam:</w:t>
      </w:r>
    </w:p>
    <w:p w14:paraId="6C349E22" w14:textId="77777777" w:rsidR="002E5A9D" w:rsidRPr="005F32AD" w:rsidRDefault="002E5A9D" w:rsidP="00204801">
      <w:pPr>
        <w:spacing w:line="240" w:lineRule="auto"/>
        <w:jc w:val="both"/>
        <w:rPr>
          <w:rFonts w:ascii="Times New Roman" w:hAnsi="Times New Roman"/>
          <w:sz w:val="24"/>
          <w:szCs w:val="24"/>
          <w:u w:val="single"/>
        </w:rPr>
      </w:pPr>
      <w:r w:rsidRPr="005F32AD">
        <w:rPr>
          <w:rFonts w:ascii="Times New Roman" w:hAnsi="Times New Roman"/>
          <w:sz w:val="24"/>
          <w:szCs w:val="24"/>
          <w:u w:val="single"/>
        </w:rPr>
        <w:t>14.1. Komisijas regulas Nr.1407/2013</w:t>
      </w:r>
      <w:r w:rsidRPr="005F32AD">
        <w:rPr>
          <w:rStyle w:val="FootnoteReference"/>
          <w:rFonts w:ascii="Times New Roman" w:hAnsi="Times New Roman"/>
          <w:sz w:val="24"/>
          <w:szCs w:val="24"/>
        </w:rPr>
        <w:footnoteReference w:customMarkFollows="1" w:id="1"/>
        <w:t>[1]</w:t>
      </w:r>
      <w:r w:rsidRPr="005F32AD">
        <w:rPr>
          <w:rFonts w:ascii="Times New Roman" w:hAnsi="Times New Roman"/>
          <w:sz w:val="24"/>
          <w:szCs w:val="24"/>
          <w:u w:val="single"/>
        </w:rPr>
        <w:t xml:space="preserve"> 1.panta 1.punktā noteiktajās nozarēs </w:t>
      </w:r>
      <w:r w:rsidRPr="005F32AD">
        <w:rPr>
          <w:rFonts w:ascii="Times New Roman" w:hAnsi="Times New Roman"/>
          <w:b/>
          <w:bCs/>
          <w:sz w:val="24"/>
          <w:szCs w:val="24"/>
          <w:u w:val="single"/>
        </w:rPr>
        <w:t>finansējuma saņēmējiem</w:t>
      </w:r>
      <w:r w:rsidRPr="005F32AD">
        <w:rPr>
          <w:rFonts w:ascii="Times New Roman" w:hAnsi="Times New Roman"/>
          <w:sz w:val="24"/>
          <w:szCs w:val="24"/>
          <w:u w:val="single"/>
        </w:rPr>
        <w:t xml:space="preserve"> finansējums netiek piešķirts:</w:t>
      </w:r>
    </w:p>
    <w:p w14:paraId="39A36B4C" w14:textId="77777777" w:rsidR="002E5A9D" w:rsidRPr="005F32AD" w:rsidRDefault="002E5A9D" w:rsidP="00204801">
      <w:pPr>
        <w:pStyle w:val="ListParagraph"/>
        <w:spacing w:line="240" w:lineRule="auto"/>
        <w:jc w:val="both"/>
        <w:rPr>
          <w:rFonts w:ascii="Times New Roman" w:hAnsi="Times New Roman"/>
          <w:sz w:val="24"/>
          <w:szCs w:val="24"/>
        </w:rPr>
      </w:pPr>
      <w:r w:rsidRPr="005F32AD">
        <w:rPr>
          <w:rFonts w:ascii="Times New Roman" w:hAnsi="Times New Roman"/>
          <w:sz w:val="24"/>
          <w:szCs w:val="24"/>
        </w:rPr>
        <w:t xml:space="preserve">a) uzņēmumiem, kuri darbojas zvejniecības un akvakultūras nozarē, uz ko attiecas Padomes Regula (EK) Nr. 104/2000 (informatīviem nolūkiem skaidrojam, ka uzņēmumi šajā nozarē parast ietilpst NACE 2. </w:t>
      </w:r>
      <w:proofErr w:type="spellStart"/>
      <w:r w:rsidRPr="005F32AD">
        <w:rPr>
          <w:rFonts w:ascii="Times New Roman" w:hAnsi="Times New Roman"/>
          <w:sz w:val="24"/>
          <w:szCs w:val="24"/>
        </w:rPr>
        <w:t>red</w:t>
      </w:r>
      <w:proofErr w:type="spellEnd"/>
      <w:r w:rsidRPr="005F32AD">
        <w:rPr>
          <w:rFonts w:ascii="Times New Roman" w:hAnsi="Times New Roman"/>
          <w:sz w:val="24"/>
          <w:szCs w:val="24"/>
        </w:rPr>
        <w:t>. A 03.1 “Zvejniecība”, A 03.2. “Akvakultūra”, C 10 “Pārtikas produktu ražošana”).</w:t>
      </w:r>
    </w:p>
    <w:p w14:paraId="4D5820A5" w14:textId="77777777" w:rsidR="002E5A9D" w:rsidRPr="005F32AD" w:rsidRDefault="002E5A9D" w:rsidP="00204801">
      <w:pPr>
        <w:pStyle w:val="ListParagraph"/>
        <w:spacing w:line="240" w:lineRule="auto"/>
        <w:jc w:val="both"/>
        <w:rPr>
          <w:rFonts w:ascii="Times New Roman" w:hAnsi="Times New Roman"/>
          <w:sz w:val="24"/>
          <w:szCs w:val="24"/>
        </w:rPr>
      </w:pPr>
      <w:r w:rsidRPr="005F32AD">
        <w:rPr>
          <w:rFonts w:ascii="Times New Roman" w:hAnsi="Times New Roman"/>
          <w:sz w:val="24"/>
          <w:szCs w:val="24"/>
        </w:rPr>
        <w:t>b) uzņēmumiem, kuri nodarbojas ar lauksaimniecības produktu primāro ražošanu (informatīviem nolūkiem skaidrojam, ka uzņēmumi šajā nozarē parast ietilpst NACE 2.red. A 01 “Augkopība un lopkopība, medniecība un saistītās palīgdarbības”, A 02 “Mežsaimniecība un mežizstrāde”, C 10 “Pārtikas produktu ražošana”, C 11 “Dzērienu ražošana”).</w:t>
      </w:r>
    </w:p>
    <w:p w14:paraId="48E93235" w14:textId="77777777" w:rsidR="002E5A9D" w:rsidRPr="005F32AD" w:rsidRDefault="002E5A9D" w:rsidP="00204801">
      <w:pPr>
        <w:pStyle w:val="ListParagraph"/>
        <w:spacing w:line="240" w:lineRule="auto"/>
        <w:jc w:val="both"/>
        <w:rPr>
          <w:rFonts w:ascii="Times New Roman" w:hAnsi="Times New Roman"/>
          <w:sz w:val="24"/>
          <w:szCs w:val="24"/>
        </w:rPr>
      </w:pPr>
      <w:r w:rsidRPr="005F32AD">
        <w:rPr>
          <w:rFonts w:ascii="Times New Roman" w:hAnsi="Times New Roman"/>
          <w:sz w:val="24"/>
          <w:szCs w:val="24"/>
        </w:rPr>
        <w:t>c) uzņēmumiem, kuri darbojas lauksaimniecības produktu pārstrādes un tirdzniecības nozarē, šādos gadījumos:</w:t>
      </w:r>
    </w:p>
    <w:p w14:paraId="3537F40B" w14:textId="77777777" w:rsidR="002E5A9D" w:rsidRPr="005F32AD" w:rsidRDefault="002E5A9D" w:rsidP="00204801">
      <w:pPr>
        <w:pStyle w:val="ListParagraph"/>
        <w:spacing w:line="240" w:lineRule="auto"/>
        <w:ind w:left="1440"/>
        <w:jc w:val="both"/>
        <w:rPr>
          <w:rFonts w:ascii="Times New Roman" w:hAnsi="Times New Roman"/>
          <w:sz w:val="24"/>
          <w:szCs w:val="24"/>
        </w:rPr>
      </w:pPr>
      <w:r w:rsidRPr="005F32AD">
        <w:rPr>
          <w:rFonts w:ascii="Times New Roman" w:hAnsi="Times New Roman"/>
          <w:sz w:val="24"/>
          <w:szCs w:val="24"/>
        </w:rPr>
        <w:t>i) ja atbalsta summa ir noteikta, pamatojoties uz šādu produktu, kurus attiecīgais uzņēmums iepircis no primārajiem ražotājiem vai laidis tirgū, cenu vai daudzumu;</w:t>
      </w:r>
    </w:p>
    <w:p w14:paraId="3E9A2D34" w14:textId="77777777" w:rsidR="002E5A9D" w:rsidRPr="005F32AD" w:rsidRDefault="002E5A9D" w:rsidP="00204801">
      <w:pPr>
        <w:pStyle w:val="ListParagraph"/>
        <w:spacing w:line="240" w:lineRule="auto"/>
        <w:ind w:left="1440"/>
        <w:jc w:val="both"/>
        <w:rPr>
          <w:rFonts w:ascii="Times New Roman" w:hAnsi="Times New Roman"/>
          <w:sz w:val="24"/>
          <w:szCs w:val="24"/>
        </w:rPr>
      </w:pPr>
      <w:r w:rsidRPr="005F32AD">
        <w:rPr>
          <w:rFonts w:ascii="Times New Roman" w:hAnsi="Times New Roman"/>
          <w:sz w:val="24"/>
          <w:szCs w:val="24"/>
        </w:rPr>
        <w:t>ii) ja atbalstu piešķir ar nosacījumu, ka to daļēji vai pilnībā nodod primārajiem ražotājiem.</w:t>
      </w:r>
    </w:p>
    <w:p w14:paraId="3BC4EA40" w14:textId="77777777" w:rsidR="002E5A9D" w:rsidRPr="005F32AD" w:rsidRDefault="002E5A9D" w:rsidP="00204801">
      <w:pPr>
        <w:pStyle w:val="ListParagraph"/>
        <w:spacing w:line="240" w:lineRule="auto"/>
        <w:jc w:val="both"/>
        <w:rPr>
          <w:rFonts w:ascii="Times New Roman" w:hAnsi="Times New Roman"/>
          <w:sz w:val="24"/>
          <w:szCs w:val="24"/>
        </w:rPr>
      </w:pPr>
      <w:r w:rsidRPr="005F32AD">
        <w:rPr>
          <w:rFonts w:ascii="Times New Roman" w:hAnsi="Times New Roman"/>
          <w:sz w:val="24"/>
          <w:szCs w:val="24"/>
        </w:rPr>
        <w:t xml:space="preserve">d) darbībām, kas saistītas ar eksportu uz </w:t>
      </w:r>
      <w:proofErr w:type="spellStart"/>
      <w:r w:rsidRPr="005F32AD">
        <w:rPr>
          <w:rFonts w:ascii="Times New Roman" w:hAnsi="Times New Roman"/>
          <w:sz w:val="24"/>
          <w:szCs w:val="24"/>
        </w:rPr>
        <w:t>trešām</w:t>
      </w:r>
      <w:proofErr w:type="spellEnd"/>
      <w:r w:rsidRPr="005F32AD">
        <w:rPr>
          <w:rFonts w:ascii="Times New Roman" w:hAnsi="Times New Roman"/>
          <w:sz w:val="24"/>
          <w:szCs w:val="24"/>
        </w:rPr>
        <w:t xml:space="preserve"> valstīm vai dalībvalstīm, tas ir, atbalstu, kas tieši saistīts ar eksportētajiem daudzumiem, izplatīšanas tīkla izveidi un darbību vai citiem kārtējiem izdevumiem, kas saistīti ar eksporta darbībām.</w:t>
      </w:r>
    </w:p>
    <w:p w14:paraId="0C5B623C" w14:textId="77777777" w:rsidR="002E5A9D" w:rsidRPr="005F32AD" w:rsidRDefault="002E5A9D" w:rsidP="00204801">
      <w:pPr>
        <w:pStyle w:val="ListParagraph"/>
        <w:spacing w:line="240" w:lineRule="auto"/>
        <w:jc w:val="both"/>
        <w:rPr>
          <w:rFonts w:ascii="Times New Roman" w:hAnsi="Times New Roman"/>
          <w:sz w:val="24"/>
          <w:szCs w:val="24"/>
        </w:rPr>
      </w:pPr>
      <w:r w:rsidRPr="005F32AD">
        <w:rPr>
          <w:rFonts w:ascii="Times New Roman" w:hAnsi="Times New Roman"/>
          <w:sz w:val="24"/>
          <w:szCs w:val="24"/>
        </w:rPr>
        <w:t>e) atbalstam, ko piešķir ar nosacījumu, ka importa preču vietā tiek izmantotas vietējās preces.</w:t>
      </w:r>
    </w:p>
    <w:p w14:paraId="28D44821" w14:textId="77777777" w:rsidR="002E5A9D" w:rsidRPr="005F32AD" w:rsidRDefault="002E5A9D" w:rsidP="00204801">
      <w:pPr>
        <w:spacing w:line="240" w:lineRule="auto"/>
        <w:jc w:val="both"/>
        <w:rPr>
          <w:rFonts w:ascii="Times New Roman" w:hAnsi="Times New Roman"/>
          <w:b/>
          <w:bCs/>
          <w:sz w:val="24"/>
          <w:szCs w:val="24"/>
          <w:u w:val="single"/>
        </w:rPr>
      </w:pPr>
      <w:r w:rsidRPr="005F32AD">
        <w:rPr>
          <w:rFonts w:ascii="Times New Roman" w:hAnsi="Times New Roman"/>
          <w:b/>
          <w:bCs/>
          <w:sz w:val="24"/>
          <w:szCs w:val="24"/>
          <w:u w:val="single"/>
        </w:rPr>
        <w:t xml:space="preserve">14.1.apakšpunktā noteiktās Komisijas regulas Nr.1407/2013 normas attiecas uz finansējuma saņēmējiem, kas projekta vadības izmaksas (noteiktas MK noteikumu 23.1.2.apakšpunktā) plāno attiecināt kā </w:t>
      </w:r>
      <w:proofErr w:type="spellStart"/>
      <w:r w:rsidRPr="005F32AD">
        <w:rPr>
          <w:rFonts w:ascii="Times New Roman" w:hAnsi="Times New Roman"/>
          <w:b/>
          <w:bCs/>
          <w:i/>
          <w:iCs/>
          <w:sz w:val="24"/>
          <w:szCs w:val="24"/>
          <w:u w:val="single"/>
        </w:rPr>
        <w:t>de</w:t>
      </w:r>
      <w:proofErr w:type="spellEnd"/>
      <w:r w:rsidRPr="005F32AD">
        <w:rPr>
          <w:rFonts w:ascii="Times New Roman" w:hAnsi="Times New Roman"/>
          <w:b/>
          <w:bCs/>
          <w:i/>
          <w:iCs/>
          <w:sz w:val="24"/>
          <w:szCs w:val="24"/>
          <w:u w:val="single"/>
        </w:rPr>
        <w:t xml:space="preserve"> </w:t>
      </w:r>
      <w:proofErr w:type="spellStart"/>
      <w:r w:rsidRPr="005F32AD">
        <w:rPr>
          <w:rFonts w:ascii="Times New Roman" w:hAnsi="Times New Roman"/>
          <w:b/>
          <w:bCs/>
          <w:i/>
          <w:iCs/>
          <w:sz w:val="24"/>
          <w:szCs w:val="24"/>
          <w:u w:val="single"/>
        </w:rPr>
        <w:t>minimis</w:t>
      </w:r>
      <w:proofErr w:type="spellEnd"/>
      <w:r w:rsidRPr="005F32AD">
        <w:rPr>
          <w:rFonts w:ascii="Times New Roman" w:hAnsi="Times New Roman"/>
          <w:b/>
          <w:bCs/>
          <w:i/>
          <w:iCs/>
          <w:sz w:val="24"/>
          <w:szCs w:val="24"/>
          <w:u w:val="single"/>
        </w:rPr>
        <w:t xml:space="preserve"> </w:t>
      </w:r>
      <w:r w:rsidRPr="005F32AD">
        <w:rPr>
          <w:rFonts w:ascii="Times New Roman" w:hAnsi="Times New Roman"/>
          <w:b/>
          <w:bCs/>
          <w:sz w:val="24"/>
          <w:szCs w:val="24"/>
          <w:u w:val="single"/>
        </w:rPr>
        <w:t> atbalstu.</w:t>
      </w:r>
    </w:p>
    <w:p w14:paraId="72DFD388" w14:textId="77777777" w:rsidR="002E5A9D" w:rsidRPr="005F32AD" w:rsidRDefault="002E5A9D" w:rsidP="00204801">
      <w:pPr>
        <w:spacing w:line="240" w:lineRule="auto"/>
        <w:jc w:val="both"/>
        <w:rPr>
          <w:rFonts w:ascii="Times New Roman" w:hAnsi="Times New Roman"/>
          <w:sz w:val="24"/>
          <w:szCs w:val="24"/>
          <w:u w:val="single"/>
        </w:rPr>
      </w:pPr>
      <w:r w:rsidRPr="005F32AD">
        <w:rPr>
          <w:rFonts w:ascii="Times New Roman" w:hAnsi="Times New Roman"/>
          <w:sz w:val="24"/>
          <w:szCs w:val="24"/>
          <w:u w:val="single"/>
        </w:rPr>
        <w:lastRenderedPageBreak/>
        <w:t>14.2. Komisijas regulas Nr.651/2014</w:t>
      </w:r>
      <w:r w:rsidRPr="005F32AD">
        <w:rPr>
          <w:rStyle w:val="FootnoteReference"/>
          <w:rFonts w:ascii="Times New Roman" w:hAnsi="Times New Roman"/>
          <w:sz w:val="24"/>
          <w:szCs w:val="24"/>
        </w:rPr>
        <w:footnoteReference w:customMarkFollows="1" w:id="2"/>
        <w:t>[2]</w:t>
      </w:r>
      <w:r w:rsidRPr="005F32AD">
        <w:rPr>
          <w:rFonts w:ascii="Times New Roman" w:hAnsi="Times New Roman"/>
          <w:sz w:val="24"/>
          <w:szCs w:val="24"/>
          <w:u w:val="single"/>
        </w:rPr>
        <w:t xml:space="preserve"> 1.panta 3.punktā noteiktajās nozarēs </w:t>
      </w:r>
      <w:r w:rsidRPr="005F32AD">
        <w:rPr>
          <w:rFonts w:ascii="Times New Roman" w:hAnsi="Times New Roman"/>
          <w:b/>
          <w:bCs/>
          <w:sz w:val="24"/>
          <w:szCs w:val="24"/>
          <w:u w:val="single"/>
        </w:rPr>
        <w:t>gala labuma guvējiem</w:t>
      </w:r>
      <w:r w:rsidRPr="005F32AD">
        <w:rPr>
          <w:rFonts w:ascii="Times New Roman" w:hAnsi="Times New Roman"/>
          <w:sz w:val="24"/>
          <w:szCs w:val="24"/>
          <w:u w:val="single"/>
        </w:rPr>
        <w:t xml:space="preserve"> finansējums netiek piešķirts:</w:t>
      </w:r>
    </w:p>
    <w:p w14:paraId="0FC2F56E" w14:textId="77777777" w:rsidR="002E5A9D" w:rsidRPr="005F32AD" w:rsidRDefault="002E5A9D" w:rsidP="00204801">
      <w:pPr>
        <w:pStyle w:val="ListParagraph"/>
        <w:spacing w:line="240" w:lineRule="auto"/>
        <w:jc w:val="both"/>
        <w:rPr>
          <w:rFonts w:ascii="Times New Roman" w:hAnsi="Times New Roman"/>
          <w:sz w:val="24"/>
          <w:szCs w:val="24"/>
        </w:rPr>
      </w:pPr>
      <w:r w:rsidRPr="005F32AD">
        <w:rPr>
          <w:rFonts w:ascii="Times New Roman" w:hAnsi="Times New Roman"/>
          <w:sz w:val="24"/>
          <w:szCs w:val="24"/>
        </w:rPr>
        <w:t>c) uzņēmumiem, kuri darbojas lauksaimniecības produktu pārstrādes un tirdzniecības nozarē, šādos gadījumos:</w:t>
      </w:r>
    </w:p>
    <w:p w14:paraId="454E3B87" w14:textId="77777777" w:rsidR="002E5A9D" w:rsidRPr="005F32AD" w:rsidRDefault="002E5A9D" w:rsidP="00204801">
      <w:pPr>
        <w:pStyle w:val="ListParagraph"/>
        <w:spacing w:line="240" w:lineRule="auto"/>
        <w:ind w:left="1440"/>
        <w:jc w:val="both"/>
        <w:rPr>
          <w:rFonts w:ascii="Times New Roman" w:hAnsi="Times New Roman"/>
          <w:sz w:val="24"/>
          <w:szCs w:val="24"/>
        </w:rPr>
      </w:pPr>
      <w:r w:rsidRPr="005F32AD">
        <w:rPr>
          <w:rFonts w:ascii="Times New Roman" w:hAnsi="Times New Roman"/>
          <w:sz w:val="24"/>
          <w:szCs w:val="24"/>
        </w:rPr>
        <w:t>i) ja atbalsta summa ir noteikta, pamatojoties uz šādu produktu, kurus attiecīgais uzņēmums iepircis no primārajiem ražotājiem vai laidis tirgū, cenu vai daudzumu;</w:t>
      </w:r>
    </w:p>
    <w:p w14:paraId="654E7738" w14:textId="77777777" w:rsidR="002E5A9D" w:rsidRPr="005F32AD" w:rsidRDefault="002E5A9D" w:rsidP="00204801">
      <w:pPr>
        <w:pStyle w:val="ListParagraph"/>
        <w:spacing w:line="240" w:lineRule="auto"/>
        <w:ind w:left="1440"/>
        <w:jc w:val="both"/>
        <w:rPr>
          <w:rFonts w:ascii="Times New Roman" w:hAnsi="Times New Roman"/>
          <w:sz w:val="24"/>
          <w:szCs w:val="24"/>
        </w:rPr>
      </w:pPr>
      <w:r w:rsidRPr="005F32AD">
        <w:rPr>
          <w:rFonts w:ascii="Times New Roman" w:hAnsi="Times New Roman"/>
          <w:sz w:val="24"/>
          <w:szCs w:val="24"/>
        </w:rPr>
        <w:t>ii) ja atbalstu piešķir ar nosacījumu, ka to daļēji vai pilnībā nodod primārajiem ražotājiem.</w:t>
      </w:r>
    </w:p>
    <w:p w14:paraId="0E407CA2" w14:textId="77777777" w:rsidR="002E5A9D" w:rsidRPr="005F32AD" w:rsidRDefault="002E5A9D" w:rsidP="00204801">
      <w:pPr>
        <w:pStyle w:val="ListParagraph"/>
        <w:spacing w:line="240" w:lineRule="auto"/>
        <w:jc w:val="both"/>
        <w:rPr>
          <w:rFonts w:ascii="Times New Roman" w:hAnsi="Times New Roman"/>
          <w:sz w:val="24"/>
          <w:szCs w:val="24"/>
        </w:rPr>
      </w:pPr>
      <w:r w:rsidRPr="005F32AD">
        <w:rPr>
          <w:rFonts w:ascii="Times New Roman" w:hAnsi="Times New Roman"/>
          <w:sz w:val="24"/>
          <w:szCs w:val="24"/>
        </w:rPr>
        <w:t>d) atbalstam nekonkurētspējīgu ogļraktuvju slēgšanas atvieglošanai, uz ko attiecas Padomes Lēmums 2010/787/ES.</w:t>
      </w:r>
    </w:p>
    <w:p w14:paraId="5AFA0BCC" w14:textId="77777777" w:rsidR="002E5A9D" w:rsidRPr="005F32AD" w:rsidRDefault="002E5A9D" w:rsidP="00204801">
      <w:pPr>
        <w:spacing w:line="240" w:lineRule="auto"/>
        <w:jc w:val="both"/>
        <w:rPr>
          <w:rFonts w:ascii="Times New Roman" w:hAnsi="Times New Roman"/>
          <w:b/>
          <w:bCs/>
          <w:sz w:val="24"/>
          <w:szCs w:val="24"/>
          <w:u w:val="single"/>
        </w:rPr>
      </w:pPr>
      <w:r w:rsidRPr="005F32AD">
        <w:rPr>
          <w:rFonts w:ascii="Times New Roman" w:hAnsi="Times New Roman"/>
          <w:b/>
          <w:bCs/>
          <w:sz w:val="24"/>
          <w:szCs w:val="24"/>
          <w:u w:val="single"/>
        </w:rPr>
        <w:t>14.2.apakšpunktā noteiktās Komisijas regulas Nr.651/2014 normas ir attiecināmas uz gala labuma guvēju līmeni.</w:t>
      </w:r>
    </w:p>
    <w:p w14:paraId="0B1C385D" w14:textId="77777777" w:rsidR="000C33AA" w:rsidRPr="000C33AA" w:rsidRDefault="000C33AA" w:rsidP="00204801">
      <w:pPr>
        <w:pStyle w:val="ListParagraph"/>
        <w:spacing w:after="0" w:line="240" w:lineRule="auto"/>
        <w:jc w:val="both"/>
        <w:rPr>
          <w:rFonts w:ascii="Times New Roman" w:hAnsi="Times New Roman"/>
          <w:sz w:val="24"/>
          <w:szCs w:val="24"/>
        </w:rPr>
      </w:pPr>
    </w:p>
    <w:p w14:paraId="63BE61EF" w14:textId="1ECEF54B" w:rsidR="009A3319" w:rsidRPr="000C33AA" w:rsidRDefault="001D0637"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t>Par projekta iesniedzēja atbilstību MK noteikumu 10.3.apakšpunktā izvirzītajām prasībām - v</w:t>
      </w:r>
      <w:r w:rsidR="001A7977" w:rsidRPr="000C33AA">
        <w:rPr>
          <w:rFonts w:ascii="Times New Roman" w:hAnsi="Times New Roman"/>
          <w:sz w:val="24"/>
          <w:szCs w:val="24"/>
        </w:rPr>
        <w:t>ai atbalst</w:t>
      </w:r>
      <w:r w:rsidR="009C28B1" w:rsidRPr="000C33AA">
        <w:rPr>
          <w:rFonts w:ascii="Times New Roman" w:hAnsi="Times New Roman"/>
          <w:sz w:val="24"/>
          <w:szCs w:val="24"/>
        </w:rPr>
        <w:t>āmās nozares traktējamas kā</w:t>
      </w:r>
      <w:r w:rsidR="001A7977" w:rsidRPr="000C33AA">
        <w:rPr>
          <w:rFonts w:ascii="Times New Roman" w:hAnsi="Times New Roman"/>
          <w:sz w:val="24"/>
          <w:szCs w:val="24"/>
        </w:rPr>
        <w:t xml:space="preserve"> visas, kas nav neatbalstāmas vai konkrētā projekta iesniedzēja darbības jomas atbalstāmās nozares?</w:t>
      </w:r>
    </w:p>
    <w:p w14:paraId="4DF9681A" w14:textId="77777777" w:rsidR="000C33AA" w:rsidRDefault="009A3319" w:rsidP="00204801">
      <w:pPr>
        <w:pStyle w:val="ListParagraph"/>
        <w:spacing w:after="0" w:line="240" w:lineRule="auto"/>
        <w:jc w:val="both"/>
        <w:rPr>
          <w:rFonts w:ascii="Times New Roman" w:hAnsi="Times New Roman"/>
          <w:sz w:val="24"/>
          <w:szCs w:val="24"/>
        </w:rPr>
      </w:pPr>
      <w:r w:rsidRPr="000C33AA">
        <w:rPr>
          <w:rFonts w:ascii="Times New Roman" w:hAnsi="Times New Roman"/>
          <w:b/>
          <w:sz w:val="24"/>
          <w:szCs w:val="24"/>
        </w:rPr>
        <w:t>Atbilde:</w:t>
      </w:r>
      <w:r w:rsidRPr="000C33AA">
        <w:rPr>
          <w:rFonts w:ascii="Times New Roman" w:hAnsi="Times New Roman"/>
          <w:sz w:val="24"/>
          <w:szCs w:val="24"/>
        </w:rPr>
        <w:t xml:space="preserve"> </w:t>
      </w:r>
      <w:r w:rsidR="00A27EBA" w:rsidRPr="000C33AA">
        <w:rPr>
          <w:rFonts w:ascii="Times New Roman" w:hAnsi="Times New Roman"/>
          <w:sz w:val="24"/>
          <w:szCs w:val="24"/>
        </w:rPr>
        <w:t>Lai noteiktu projekta iesniedzēja atbilstību MK noteikumu 10.3.apakšpunktā izvirzītajām prasībām, tiek pārbaudīts:</w:t>
      </w:r>
    </w:p>
    <w:p w14:paraId="2B650F29" w14:textId="77777777" w:rsidR="000C33AA" w:rsidRDefault="00A27EBA" w:rsidP="00204801">
      <w:pPr>
        <w:pStyle w:val="ListParagraph"/>
        <w:numPr>
          <w:ilvl w:val="1"/>
          <w:numId w:val="13"/>
        </w:numPr>
        <w:spacing w:after="0" w:line="240" w:lineRule="auto"/>
        <w:jc w:val="both"/>
        <w:rPr>
          <w:rFonts w:ascii="Times New Roman" w:hAnsi="Times New Roman"/>
          <w:sz w:val="24"/>
          <w:szCs w:val="24"/>
        </w:rPr>
      </w:pPr>
      <w:r w:rsidRPr="000C33AA">
        <w:rPr>
          <w:rFonts w:ascii="Times New Roman" w:hAnsi="Times New Roman"/>
          <w:sz w:val="24"/>
          <w:szCs w:val="24"/>
        </w:rPr>
        <w:t xml:space="preserve">vai 50% no visiem projekta iesniedzēja biedriem pārstāv projekta iesniedzēja norādīto atbalstāmo nozari. </w:t>
      </w:r>
    </w:p>
    <w:p w14:paraId="4472C9D7" w14:textId="5F03721B" w:rsidR="00A27EBA" w:rsidRPr="000C33AA" w:rsidRDefault="00A27EBA" w:rsidP="00204801">
      <w:pPr>
        <w:pStyle w:val="ListParagraph"/>
        <w:numPr>
          <w:ilvl w:val="1"/>
          <w:numId w:val="13"/>
        </w:numPr>
        <w:spacing w:after="0" w:line="240" w:lineRule="auto"/>
        <w:jc w:val="both"/>
        <w:rPr>
          <w:rFonts w:ascii="Times New Roman" w:hAnsi="Times New Roman"/>
          <w:sz w:val="24"/>
          <w:szCs w:val="24"/>
        </w:rPr>
      </w:pPr>
      <w:r w:rsidRPr="000C33AA">
        <w:rPr>
          <w:rFonts w:ascii="Times New Roman" w:hAnsi="Times New Roman"/>
          <w:sz w:val="24"/>
          <w:szCs w:val="24"/>
        </w:rPr>
        <w:t xml:space="preserve">vai visi projekta iesniedzēja Latvijā reģistrētie biedri, </w:t>
      </w:r>
      <w:r w:rsidRPr="000C33AA">
        <w:rPr>
          <w:rFonts w:ascii="Times New Roman" w:hAnsi="Times New Roman"/>
          <w:sz w:val="24"/>
          <w:szCs w:val="24"/>
          <w:u w:val="single"/>
        </w:rPr>
        <w:t>kuri pārstāv projekta iesniedzēja norādīto atbalstāmo nozari,</w:t>
      </w:r>
      <w:r w:rsidRPr="000C33AA">
        <w:rPr>
          <w:rFonts w:ascii="Times New Roman" w:hAnsi="Times New Roman"/>
          <w:sz w:val="24"/>
          <w:szCs w:val="24"/>
        </w:rPr>
        <w:t xml:space="preserve"> kopā veido apgrozījumu – 142,29 milj. </w:t>
      </w:r>
      <w:proofErr w:type="spellStart"/>
      <w:r w:rsidRPr="000C33AA">
        <w:rPr>
          <w:rFonts w:ascii="Times New Roman" w:hAnsi="Times New Roman"/>
          <w:i/>
          <w:iCs/>
          <w:sz w:val="24"/>
          <w:szCs w:val="24"/>
        </w:rPr>
        <w:t>euro</w:t>
      </w:r>
      <w:proofErr w:type="spellEnd"/>
      <w:r w:rsidRPr="000C33AA">
        <w:rPr>
          <w:rFonts w:ascii="Times New Roman" w:hAnsi="Times New Roman"/>
          <w:sz w:val="24"/>
          <w:szCs w:val="24"/>
        </w:rPr>
        <w:t>.</w:t>
      </w:r>
    </w:p>
    <w:p w14:paraId="4CD3CC1F" w14:textId="77777777" w:rsidR="004B4F46" w:rsidRDefault="004B4F46" w:rsidP="00204801">
      <w:pPr>
        <w:pStyle w:val="ListParagraph"/>
        <w:spacing w:after="0" w:line="240" w:lineRule="auto"/>
        <w:ind w:left="2880"/>
        <w:jc w:val="both"/>
        <w:rPr>
          <w:rFonts w:ascii="Times New Roman" w:hAnsi="Times New Roman"/>
          <w:sz w:val="24"/>
          <w:szCs w:val="24"/>
        </w:rPr>
      </w:pPr>
    </w:p>
    <w:p w14:paraId="612D4F03" w14:textId="07B176BF" w:rsidR="006D1634" w:rsidRPr="000C33AA" w:rsidRDefault="006D1634"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t>Komersantam bieži ir vairāki pamatdarbības NACE kodi, kuri tiek norādīti dažādos pārskatos un ne vienmēr sakrīt. Kādu informāciju jānorāda projekta iesniegumam pievienojamajā biedru sarakstā?</w:t>
      </w:r>
    </w:p>
    <w:p w14:paraId="223D22D9" w14:textId="77777777" w:rsidR="006D1634" w:rsidRPr="000C33AA" w:rsidRDefault="006D1634" w:rsidP="00204801">
      <w:pPr>
        <w:pStyle w:val="ListParagraph"/>
        <w:spacing w:after="0" w:line="240" w:lineRule="auto"/>
        <w:jc w:val="both"/>
        <w:rPr>
          <w:rFonts w:ascii="Times New Roman" w:hAnsi="Times New Roman"/>
          <w:sz w:val="24"/>
          <w:szCs w:val="24"/>
        </w:rPr>
      </w:pPr>
      <w:r w:rsidRPr="000C33AA">
        <w:rPr>
          <w:rFonts w:ascii="Times New Roman" w:hAnsi="Times New Roman"/>
          <w:b/>
          <w:sz w:val="24"/>
          <w:szCs w:val="24"/>
        </w:rPr>
        <w:t>Atbilde:</w:t>
      </w:r>
      <w:r w:rsidRPr="000C33AA">
        <w:rPr>
          <w:rFonts w:ascii="Times New Roman" w:hAnsi="Times New Roman"/>
          <w:sz w:val="24"/>
          <w:szCs w:val="24"/>
        </w:rPr>
        <w:t xml:space="preserve"> Jānorāda komersanta visi pamatdarbības NACE kodi, kas pieejami dažādos informācijas avotos.</w:t>
      </w:r>
    </w:p>
    <w:p w14:paraId="0D9C742A" w14:textId="77777777" w:rsidR="006D1634" w:rsidRPr="009C28B1" w:rsidRDefault="006D1634" w:rsidP="00204801">
      <w:pPr>
        <w:spacing w:after="0" w:line="240" w:lineRule="auto"/>
        <w:ind w:left="851"/>
        <w:jc w:val="both"/>
        <w:rPr>
          <w:rFonts w:ascii="Times New Roman" w:hAnsi="Times New Roman" w:cs="Times New Roman"/>
          <w:sz w:val="24"/>
          <w:szCs w:val="24"/>
        </w:rPr>
      </w:pPr>
    </w:p>
    <w:p w14:paraId="27FC5E2D" w14:textId="5243D299" w:rsidR="006D1634" w:rsidRPr="000C33AA" w:rsidRDefault="006D1634"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t xml:space="preserve">Vai </w:t>
      </w:r>
      <w:r w:rsidR="003E55EE">
        <w:rPr>
          <w:rFonts w:ascii="Times New Roman" w:hAnsi="Times New Roman"/>
          <w:sz w:val="24"/>
          <w:szCs w:val="24"/>
        </w:rPr>
        <w:t>k</w:t>
      </w:r>
      <w:r w:rsidRPr="000C33AA">
        <w:rPr>
          <w:rFonts w:ascii="Times New Roman" w:hAnsi="Times New Roman"/>
          <w:sz w:val="24"/>
          <w:szCs w:val="24"/>
        </w:rPr>
        <w:t>valitātes kritērijā Nr.1, lai saņemtu maksimālo punktu skaitu tiks skaitīts visu projekta iesniedzēja biedru (no dažādām atbalstāmām nozarēm) darbinieku skaits, vai arī tikai to biedru darbinieku skaits, kuri pārstāv projekta iesniedzēja nozari (nozari, kurā projekta iesniedzējs iesniedz projektu saskaņā ar Kvalitātes kritēriju Nr.1)?</w:t>
      </w:r>
    </w:p>
    <w:p w14:paraId="4F81C5A7" w14:textId="77777777" w:rsidR="000C33AA" w:rsidRDefault="006D1634" w:rsidP="00204801">
      <w:pPr>
        <w:pStyle w:val="ListParagraph"/>
        <w:spacing w:after="0" w:line="240" w:lineRule="auto"/>
        <w:jc w:val="both"/>
        <w:rPr>
          <w:rFonts w:ascii="Times New Roman" w:hAnsi="Times New Roman"/>
          <w:sz w:val="24"/>
          <w:szCs w:val="24"/>
        </w:rPr>
      </w:pPr>
      <w:r w:rsidRPr="000C33AA">
        <w:rPr>
          <w:rFonts w:ascii="Times New Roman" w:hAnsi="Times New Roman"/>
          <w:b/>
          <w:bCs/>
          <w:sz w:val="24"/>
          <w:szCs w:val="24"/>
        </w:rPr>
        <w:t>Atbilde:</w:t>
      </w:r>
      <w:r w:rsidRPr="000C33AA">
        <w:rPr>
          <w:rFonts w:ascii="Times New Roman" w:hAnsi="Times New Roman"/>
          <w:sz w:val="24"/>
          <w:szCs w:val="24"/>
        </w:rPr>
        <w:t xml:space="preserve"> Kvalitātes kritērijā Nr.1 maksimālo punktu skaitu saņems projekta iesniedzējs, kuram ir vislielākais biedru darbinieku skaits, tiks ņemts vērā to biedru darbinieku skaits, kuriem </w:t>
      </w:r>
      <w:r w:rsidRPr="000C33AA">
        <w:rPr>
          <w:rFonts w:ascii="Times New Roman" w:hAnsi="Times New Roman"/>
          <w:sz w:val="24"/>
          <w:szCs w:val="24"/>
          <w:u w:val="single"/>
        </w:rPr>
        <w:t>pamatdarbības nozare</w:t>
      </w:r>
      <w:r w:rsidRPr="000C33AA">
        <w:rPr>
          <w:rFonts w:ascii="Times New Roman" w:hAnsi="Times New Roman"/>
          <w:sz w:val="24"/>
          <w:szCs w:val="24"/>
        </w:rPr>
        <w:t xml:space="preserve"> (vai viena no tām) ir projekta iesniedzēja pārstāvētā nozare, par kuru tiek iesniegts projekta iesniegums.</w:t>
      </w:r>
    </w:p>
    <w:p w14:paraId="283E6453" w14:textId="77777777" w:rsidR="000C33AA" w:rsidRDefault="000C33AA" w:rsidP="00204801">
      <w:pPr>
        <w:pStyle w:val="ListParagraph"/>
        <w:spacing w:after="0" w:line="240" w:lineRule="auto"/>
        <w:jc w:val="both"/>
        <w:rPr>
          <w:rFonts w:ascii="Times New Roman" w:hAnsi="Times New Roman"/>
          <w:sz w:val="24"/>
          <w:szCs w:val="24"/>
        </w:rPr>
      </w:pPr>
    </w:p>
    <w:p w14:paraId="6970141D" w14:textId="4094D1B8" w:rsidR="006D1634" w:rsidRPr="000C33AA" w:rsidRDefault="000C33AA"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bCs/>
          <w:sz w:val="24"/>
          <w:szCs w:val="24"/>
        </w:rPr>
        <w:t>1.</w:t>
      </w:r>
      <w:r w:rsidR="006D1634" w:rsidRPr="000C33AA">
        <w:rPr>
          <w:rFonts w:ascii="Times New Roman" w:hAnsi="Times New Roman"/>
          <w:sz w:val="24"/>
          <w:szCs w:val="24"/>
        </w:rPr>
        <w:t xml:space="preserve">kvalitātes kritērijs nosaka, ka </w:t>
      </w:r>
      <w:r w:rsidR="006D1634" w:rsidRPr="000C33AA">
        <w:rPr>
          <w:rFonts w:ascii="Times New Roman" w:hAnsi="Times New Roman"/>
          <w:color w:val="000000"/>
          <w:sz w:val="24"/>
          <w:szCs w:val="24"/>
        </w:rPr>
        <w:t>20 punktus piešķir</w:t>
      </w:r>
      <w:r w:rsidR="006D1634" w:rsidRPr="000C33AA">
        <w:rPr>
          <w:rFonts w:ascii="Times New Roman" w:hAnsi="Times New Roman"/>
          <w:b/>
          <w:bCs/>
          <w:color w:val="000000"/>
          <w:sz w:val="24"/>
          <w:szCs w:val="24"/>
        </w:rPr>
        <w:t xml:space="preserve">, </w:t>
      </w:r>
      <w:r w:rsidR="006D1634" w:rsidRPr="000C33AA">
        <w:rPr>
          <w:rFonts w:ascii="Times New Roman" w:hAnsi="Times New Roman"/>
          <w:color w:val="000000"/>
          <w:sz w:val="24"/>
          <w:szCs w:val="24"/>
        </w:rPr>
        <w:t xml:space="preserve">ja projekta iesniedzējs ir biedrība, kas apvieno vislielāko darbinieku skaitu (biedru nodarbināto) savā </w:t>
      </w:r>
      <w:r w:rsidR="006D1634" w:rsidRPr="000C33AA">
        <w:rPr>
          <w:rFonts w:ascii="Times New Roman" w:hAnsi="Times New Roman"/>
          <w:color w:val="000000"/>
          <w:sz w:val="24"/>
          <w:szCs w:val="24"/>
        </w:rPr>
        <w:lastRenderedPageBreak/>
        <w:t>nozarē (no biedrībām, kas iesniegušas projektu iesniegumus). Ja biedrības biedrs ir kāda cita tās pašas nozares biedrība, piemēram biedrība "X", vai skaitot darbiniekus, tiek piesummēti šīs biedrības "X" komersantu darbinieki.</w:t>
      </w:r>
    </w:p>
    <w:p w14:paraId="0BC07F72" w14:textId="77777777" w:rsidR="006D1634" w:rsidRDefault="006D1634" w:rsidP="00204801">
      <w:pPr>
        <w:pStyle w:val="ListParagraph"/>
        <w:spacing w:after="0" w:line="240" w:lineRule="auto"/>
        <w:jc w:val="both"/>
        <w:rPr>
          <w:rFonts w:ascii="Times New Roman" w:hAnsi="Times New Roman"/>
          <w:sz w:val="24"/>
          <w:szCs w:val="24"/>
        </w:rPr>
      </w:pPr>
      <w:r w:rsidRPr="000C33AA">
        <w:rPr>
          <w:rFonts w:ascii="Times New Roman" w:hAnsi="Times New Roman"/>
          <w:b/>
          <w:bCs/>
          <w:sz w:val="24"/>
          <w:szCs w:val="24"/>
        </w:rPr>
        <w:t>Atbilde:</w:t>
      </w:r>
      <w:r w:rsidRPr="000C33AA">
        <w:rPr>
          <w:rFonts w:ascii="Times New Roman" w:hAnsi="Times New Roman"/>
          <w:sz w:val="24"/>
          <w:szCs w:val="24"/>
        </w:rPr>
        <w:t xml:space="preserve"> Ja biedrības, kas ir projekta iesniedzējs, biedrs ir kāda cita tās pašas nozares biedrība “X”, tad vērtējot darbinieku skaitu kvalitātes kritērijā Nr.1 tiek pieskaitīti arī “X” biedrības komersantu darbinieki. Vienlaikus vēršam uzmanību, ka tiek vērtēts darbinieku skaits komersantiem (biedrības biedriem vai biedru biedriem), kuriem </w:t>
      </w:r>
      <w:r w:rsidRPr="000C33AA">
        <w:rPr>
          <w:rFonts w:ascii="Times New Roman" w:hAnsi="Times New Roman"/>
          <w:sz w:val="24"/>
          <w:szCs w:val="24"/>
          <w:u w:val="single"/>
        </w:rPr>
        <w:t>pamatdarbības nozare</w:t>
      </w:r>
      <w:r w:rsidRPr="000C33AA">
        <w:rPr>
          <w:rFonts w:ascii="Times New Roman" w:hAnsi="Times New Roman"/>
          <w:sz w:val="24"/>
          <w:szCs w:val="24"/>
        </w:rPr>
        <w:t xml:space="preserve"> (vai viena no tām) ir projekta iesniedzēja pārstāvētā nozare, par kuru tiek iesniegts projekta iesniegums.</w:t>
      </w:r>
    </w:p>
    <w:p w14:paraId="490730E3" w14:textId="77777777" w:rsidR="000C33AA" w:rsidRPr="000C33AA" w:rsidRDefault="000C33AA" w:rsidP="00204801">
      <w:pPr>
        <w:pStyle w:val="ListParagraph"/>
        <w:spacing w:after="0" w:line="240" w:lineRule="auto"/>
        <w:jc w:val="both"/>
        <w:rPr>
          <w:rFonts w:ascii="Times New Roman" w:hAnsi="Times New Roman"/>
          <w:sz w:val="24"/>
          <w:szCs w:val="24"/>
        </w:rPr>
      </w:pPr>
    </w:p>
    <w:p w14:paraId="18CE8135" w14:textId="77777777" w:rsidR="000C33AA" w:rsidRPr="000C33AA" w:rsidRDefault="006D1634"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color w:val="000000"/>
          <w:sz w:val="24"/>
          <w:szCs w:val="24"/>
        </w:rPr>
        <w:t>No dokumentācijas saprotam, ka piešķirs finansējumu katrai nozarei vispirms 1 biedrībai, tad, ja pietiks līdzekļu, tad arī 2. biedrībai. ja vairākās nozarēs būs iesniegti 2 projekti un visu otro projektu atbalstam līdzekļi nepietiks, kā tiks noteikts, kurai nozarei</w:t>
      </w:r>
      <w:r w:rsidR="000C33AA" w:rsidRPr="000C33AA">
        <w:rPr>
          <w:rFonts w:ascii="Times New Roman" w:hAnsi="Times New Roman"/>
          <w:color w:val="000000"/>
          <w:sz w:val="24"/>
          <w:szCs w:val="24"/>
        </w:rPr>
        <w:t xml:space="preserve"> vispirms atbalstīs 2. projektu.</w:t>
      </w:r>
    </w:p>
    <w:p w14:paraId="783E6B04" w14:textId="453F7BF6" w:rsidR="006D1634" w:rsidRDefault="006D1634" w:rsidP="00204801">
      <w:pPr>
        <w:pStyle w:val="ListParagraph"/>
        <w:spacing w:after="0" w:line="240" w:lineRule="auto"/>
        <w:jc w:val="both"/>
        <w:rPr>
          <w:rFonts w:ascii="Times New Roman" w:hAnsi="Times New Roman"/>
          <w:sz w:val="24"/>
          <w:szCs w:val="24"/>
        </w:rPr>
      </w:pPr>
      <w:r w:rsidRPr="000C33AA">
        <w:rPr>
          <w:rFonts w:ascii="Times New Roman" w:hAnsi="Times New Roman"/>
          <w:b/>
          <w:bCs/>
          <w:sz w:val="24"/>
          <w:szCs w:val="24"/>
        </w:rPr>
        <w:t>Atbilde:</w:t>
      </w:r>
      <w:r w:rsidRPr="000C33AA">
        <w:rPr>
          <w:rFonts w:ascii="Times New Roman" w:hAnsi="Times New Roman"/>
          <w:sz w:val="24"/>
          <w:szCs w:val="24"/>
        </w:rPr>
        <w:t xml:space="preserve"> Jā, vispirms finansējums tiks piešķirts vienas biedrības projektam katrā no MK noteikumu Nr.617 1.pielikumā minētajām </w:t>
      </w:r>
      <w:r w:rsidR="000C33AA" w:rsidRPr="000C33AA">
        <w:rPr>
          <w:rFonts w:ascii="Times New Roman" w:hAnsi="Times New Roman"/>
          <w:sz w:val="24"/>
          <w:szCs w:val="24"/>
        </w:rPr>
        <w:t>n</w:t>
      </w:r>
      <w:r w:rsidRPr="000C33AA">
        <w:rPr>
          <w:rFonts w:ascii="Times New Roman" w:hAnsi="Times New Roman"/>
          <w:sz w:val="24"/>
          <w:szCs w:val="24"/>
        </w:rPr>
        <w:t>ozarēm/</w:t>
      </w:r>
      <w:proofErr w:type="spellStart"/>
      <w:r w:rsidRPr="000C33AA">
        <w:rPr>
          <w:rFonts w:ascii="Times New Roman" w:hAnsi="Times New Roman"/>
          <w:sz w:val="24"/>
          <w:szCs w:val="24"/>
        </w:rPr>
        <w:t>apakšnozarēm</w:t>
      </w:r>
      <w:proofErr w:type="spellEnd"/>
      <w:r w:rsidRPr="000C33AA">
        <w:rPr>
          <w:rFonts w:ascii="Times New Roman" w:hAnsi="Times New Roman"/>
          <w:sz w:val="24"/>
          <w:szCs w:val="24"/>
        </w:rPr>
        <w:t>. Atlikušais finansējums tiks piešķirts biedrībām, kurām pēc kvalitātes kritērijiem būs augstāks punktu skaits, ne vairāk kā kopumā 2 biedrībām katrā nozarē/</w:t>
      </w:r>
      <w:proofErr w:type="spellStart"/>
      <w:r w:rsidRPr="000C33AA">
        <w:rPr>
          <w:rFonts w:ascii="Times New Roman" w:hAnsi="Times New Roman"/>
          <w:sz w:val="24"/>
          <w:szCs w:val="24"/>
        </w:rPr>
        <w:t>apakšnozarē</w:t>
      </w:r>
      <w:proofErr w:type="spellEnd"/>
      <w:r w:rsidRPr="000C33AA">
        <w:rPr>
          <w:rFonts w:ascii="Times New Roman" w:hAnsi="Times New Roman"/>
          <w:sz w:val="24"/>
          <w:szCs w:val="24"/>
        </w:rPr>
        <w:t>.</w:t>
      </w:r>
    </w:p>
    <w:p w14:paraId="7C9B8DE1" w14:textId="77777777" w:rsidR="000C33AA" w:rsidRPr="000C33AA" w:rsidRDefault="000C33AA" w:rsidP="00204801">
      <w:pPr>
        <w:pStyle w:val="ListParagraph"/>
        <w:spacing w:after="0" w:line="240" w:lineRule="auto"/>
        <w:jc w:val="both"/>
        <w:rPr>
          <w:rFonts w:ascii="Times New Roman" w:hAnsi="Times New Roman"/>
          <w:sz w:val="24"/>
          <w:szCs w:val="24"/>
        </w:rPr>
      </w:pPr>
    </w:p>
    <w:p w14:paraId="238C30C1" w14:textId="77777777" w:rsidR="000C33AA" w:rsidRPr="000C33AA" w:rsidRDefault="000C33AA"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t>Vai gadījumā, ja projekta vadības ārpakalpojumu nodrošina juridiska persona – birojs, projekta iesniedzējam ir jāiesniedz projekta vadītāja CV?</w:t>
      </w:r>
    </w:p>
    <w:p w14:paraId="5437132F" w14:textId="77777777" w:rsidR="000C33AA" w:rsidRDefault="000C33AA" w:rsidP="00204801">
      <w:pPr>
        <w:pStyle w:val="ListParagraph"/>
        <w:spacing w:after="0" w:line="240" w:lineRule="auto"/>
        <w:jc w:val="both"/>
        <w:rPr>
          <w:rFonts w:ascii="Times New Roman" w:hAnsi="Times New Roman"/>
          <w:sz w:val="24"/>
          <w:szCs w:val="24"/>
        </w:rPr>
      </w:pPr>
      <w:r w:rsidRPr="000C33AA">
        <w:rPr>
          <w:rFonts w:ascii="Times New Roman" w:hAnsi="Times New Roman"/>
          <w:b/>
          <w:bCs/>
          <w:sz w:val="24"/>
          <w:szCs w:val="24"/>
        </w:rPr>
        <w:t>Atbilde:</w:t>
      </w:r>
      <w:r w:rsidRPr="000C33AA">
        <w:rPr>
          <w:rFonts w:ascii="Times New Roman" w:hAnsi="Times New Roman"/>
          <w:sz w:val="24"/>
          <w:szCs w:val="24"/>
        </w:rPr>
        <w:t xml:space="preserve"> Ja ir zināms projekta vadītājs, tad ir jāiesniedz CV kopā ar projekta iesniegumu arī šādā gadījumā. Ja projekta vadībā juridiskā persona (birojs) plāno iesaistīt vairākas personas, tad ieteicams vienu norādīt kā galveno projekta vadības kontaktpersonu, kura būs kompetenta par projekta jautājumiem. Attiecīgi jāpievieno viens CV, bet, ja projekta iesniedzējs uzskata par nepieciešamu, var pievienot arī vairākus. Projekta vadības organizatoriskā puse ir projekta iesniedzēja kompetencē un tā ir jāapraksta projekta iesnieguma 2.1.sadaļā.</w:t>
      </w:r>
    </w:p>
    <w:p w14:paraId="769EE6BF" w14:textId="77777777" w:rsidR="000C33AA" w:rsidRPr="000C33AA" w:rsidRDefault="000C33AA" w:rsidP="00204801">
      <w:pPr>
        <w:pStyle w:val="ListParagraph"/>
        <w:spacing w:after="0" w:line="240" w:lineRule="auto"/>
        <w:jc w:val="both"/>
        <w:rPr>
          <w:rFonts w:ascii="Times New Roman" w:hAnsi="Times New Roman"/>
          <w:sz w:val="24"/>
          <w:szCs w:val="24"/>
        </w:rPr>
      </w:pPr>
    </w:p>
    <w:p w14:paraId="5D6F202F" w14:textId="77777777" w:rsidR="000C33AA" w:rsidRPr="000C33AA" w:rsidRDefault="000C33AA"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t>Vai projekta iesniedzējam projekta pieteikumā ir jāpamato projekta vadības ārpakalpojuma sniedzēja (juridiskas personas) iepriekšējā pieredze līdzīgu projektu īstenošanā?</w:t>
      </w:r>
    </w:p>
    <w:p w14:paraId="2D162BB0" w14:textId="569A3334" w:rsidR="000C33AA" w:rsidRDefault="000C33AA" w:rsidP="00204801">
      <w:pPr>
        <w:pStyle w:val="ListParagraph"/>
        <w:spacing w:after="0" w:line="240" w:lineRule="auto"/>
        <w:jc w:val="both"/>
        <w:rPr>
          <w:rFonts w:ascii="Times New Roman" w:hAnsi="Times New Roman"/>
          <w:sz w:val="24"/>
          <w:szCs w:val="24"/>
        </w:rPr>
      </w:pPr>
      <w:r w:rsidRPr="000C33AA">
        <w:rPr>
          <w:rFonts w:ascii="Times New Roman" w:hAnsi="Times New Roman"/>
          <w:b/>
          <w:bCs/>
          <w:sz w:val="24"/>
          <w:szCs w:val="24"/>
        </w:rPr>
        <w:t>Atbilde:</w:t>
      </w:r>
      <w:r w:rsidRPr="000C33AA">
        <w:rPr>
          <w:rFonts w:ascii="Times New Roman" w:hAnsi="Times New Roman"/>
          <w:sz w:val="24"/>
          <w:szCs w:val="24"/>
        </w:rPr>
        <w:t xml:space="preserve"> Jā, iepriekšējā pieredze projekta iesnieguma 2.1.sadaļā jāpamato jebkurā gadījumā, neatkarīgi no tā, vai ārpakalpojumu sniedz fiziska vai juridiska persona.</w:t>
      </w:r>
    </w:p>
    <w:p w14:paraId="33EB45EA" w14:textId="77777777" w:rsidR="000C33AA" w:rsidRPr="000C33AA" w:rsidRDefault="000C33AA" w:rsidP="00204801">
      <w:pPr>
        <w:pStyle w:val="ListParagraph"/>
        <w:spacing w:after="0" w:line="240" w:lineRule="auto"/>
        <w:jc w:val="both"/>
        <w:rPr>
          <w:rFonts w:ascii="Times New Roman" w:hAnsi="Times New Roman"/>
          <w:sz w:val="24"/>
          <w:szCs w:val="24"/>
        </w:rPr>
      </w:pPr>
    </w:p>
    <w:p w14:paraId="4696D34F" w14:textId="0EF31013" w:rsidR="000C33AA" w:rsidRPr="000C33AA" w:rsidRDefault="000C33AA"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t xml:space="preserve">Tā kā KPVIS budžeta sadaļā ir papildus rindiņas nekā mājas lapā publicētajās veidlapās, jautājums </w:t>
      </w:r>
      <w:r w:rsidRPr="000C33AA">
        <w:rPr>
          <w:rFonts w:ascii="Times New Roman" w:hAnsi="Times New Roman"/>
          <w:bCs/>
          <w:sz w:val="24"/>
          <w:szCs w:val="24"/>
        </w:rPr>
        <w:t>vai šajā Projektā sadaļā ‘Valsts budžeta finansējums’ rakstāma nulle?</w:t>
      </w:r>
      <w:r w:rsidRPr="000C33AA">
        <w:rPr>
          <w:rFonts w:ascii="Times New Roman" w:hAnsi="Times New Roman"/>
          <w:sz w:val="24"/>
          <w:szCs w:val="24"/>
        </w:rPr>
        <w:t xml:space="preserve"> Tā pat arī abos pielikumos KPVIS atšķirībā no mājas lapā publicētajām veidlapām parādās neattiecināmo izmaksu sadaļas – </w:t>
      </w:r>
      <w:r w:rsidRPr="000C33AA">
        <w:rPr>
          <w:rFonts w:ascii="Times New Roman" w:hAnsi="Times New Roman"/>
          <w:bCs/>
          <w:sz w:val="24"/>
          <w:szCs w:val="24"/>
        </w:rPr>
        <w:t>vai arī šajās rindiņās ‘Neattiecināmā summa’, ‘Publiskās neattiecināmās izmaksas’ un ‘Privātās neattiecināmās izmaksas’ rakstāma nulle?</w:t>
      </w:r>
    </w:p>
    <w:p w14:paraId="4DB47A1A" w14:textId="74AB438E" w:rsidR="000C33AA" w:rsidRDefault="000C33AA" w:rsidP="00204801">
      <w:pPr>
        <w:pStyle w:val="ListParagraph"/>
        <w:spacing w:after="0" w:line="240" w:lineRule="auto"/>
        <w:jc w:val="both"/>
        <w:rPr>
          <w:rFonts w:ascii="Times New Roman" w:hAnsi="Times New Roman"/>
          <w:sz w:val="24"/>
          <w:szCs w:val="24"/>
        </w:rPr>
      </w:pPr>
      <w:r w:rsidRPr="000C33AA">
        <w:rPr>
          <w:rFonts w:ascii="Times New Roman" w:hAnsi="Times New Roman"/>
          <w:b/>
          <w:bCs/>
          <w:sz w:val="24"/>
          <w:szCs w:val="24"/>
        </w:rPr>
        <w:t>Atbilde:</w:t>
      </w:r>
      <w:r w:rsidRPr="000C33AA">
        <w:rPr>
          <w:rFonts w:ascii="Times New Roman" w:hAnsi="Times New Roman"/>
          <w:sz w:val="24"/>
          <w:szCs w:val="24"/>
        </w:rPr>
        <w:t xml:space="preserve"> Jā, šobrīd ievadot KP VIS budžetu 2.pielikuma “Finansēšanas plāns” rindā “Valsts budžeta finansējums” norādāma nulle, tāpat arī pie projekta neattiecināmajām izmaksām.</w:t>
      </w:r>
    </w:p>
    <w:p w14:paraId="6FD99C69" w14:textId="77777777" w:rsidR="000C33AA" w:rsidRPr="000C33AA" w:rsidRDefault="000C33AA" w:rsidP="00204801">
      <w:pPr>
        <w:pStyle w:val="ListParagraph"/>
        <w:spacing w:after="0" w:line="240" w:lineRule="auto"/>
        <w:jc w:val="both"/>
        <w:rPr>
          <w:rFonts w:ascii="Times New Roman" w:hAnsi="Times New Roman"/>
          <w:sz w:val="24"/>
          <w:szCs w:val="24"/>
        </w:rPr>
      </w:pPr>
    </w:p>
    <w:p w14:paraId="1FBD10B0" w14:textId="372F4F10" w:rsidR="000C33AA" w:rsidRPr="000C33AA" w:rsidRDefault="000C33AA"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lastRenderedPageBreak/>
        <w:t xml:space="preserve">Neskaidrība radusies sakarā ar atlases nolikuma 5.6.punktu, kas nosaka, ka uzskaites veidlapa par </w:t>
      </w:r>
      <w:proofErr w:type="spellStart"/>
      <w:r w:rsidRPr="000C33AA">
        <w:rPr>
          <w:rFonts w:ascii="Times New Roman" w:hAnsi="Times New Roman"/>
          <w:i/>
          <w:iCs/>
          <w:sz w:val="24"/>
          <w:szCs w:val="24"/>
        </w:rPr>
        <w:t>de</w:t>
      </w:r>
      <w:proofErr w:type="spellEnd"/>
      <w:r w:rsidRPr="000C33AA">
        <w:rPr>
          <w:rFonts w:ascii="Times New Roman" w:hAnsi="Times New Roman"/>
          <w:i/>
          <w:iCs/>
          <w:sz w:val="24"/>
          <w:szCs w:val="24"/>
        </w:rPr>
        <w:t xml:space="preserve"> </w:t>
      </w:r>
      <w:proofErr w:type="spellStart"/>
      <w:r w:rsidRPr="000C33AA">
        <w:rPr>
          <w:rFonts w:ascii="Times New Roman" w:hAnsi="Times New Roman"/>
          <w:i/>
          <w:iCs/>
          <w:sz w:val="24"/>
          <w:szCs w:val="24"/>
        </w:rPr>
        <w:t>minimis</w:t>
      </w:r>
      <w:proofErr w:type="spellEnd"/>
      <w:r w:rsidRPr="000C33AA">
        <w:rPr>
          <w:rFonts w:ascii="Times New Roman" w:hAnsi="Times New Roman"/>
          <w:sz w:val="24"/>
          <w:szCs w:val="24"/>
        </w:rPr>
        <w:t xml:space="preserve"> jāiesniedz tikai tad, ja projekta vadību nodrošinās projekta iesniedzēja darbinieki. </w:t>
      </w:r>
      <w:r w:rsidRPr="000C33AA">
        <w:rPr>
          <w:rFonts w:ascii="Times New Roman" w:hAnsi="Times New Roman"/>
          <w:bCs/>
          <w:sz w:val="24"/>
          <w:szCs w:val="24"/>
        </w:rPr>
        <w:t xml:space="preserve">No tā var saprast, ka gadījumā, kad vadības personālam tiks veikts iepirkums un pārējām administrēšanas izmaksām (telpu apsaimniekošana, grāmatvedība, u.t.t.) netiks veikts iepirkums, tad arī ‘bez iepirkuma’ administrēšanas izmaksas (telpu apsaimniekošana, grāmatvedība, u.t.t.) nebūs </w:t>
      </w:r>
      <w:proofErr w:type="spellStart"/>
      <w:r w:rsidRPr="000C33AA">
        <w:rPr>
          <w:rFonts w:ascii="Times New Roman" w:hAnsi="Times New Roman"/>
          <w:bCs/>
          <w:i/>
          <w:iCs/>
          <w:sz w:val="24"/>
          <w:szCs w:val="24"/>
        </w:rPr>
        <w:t>de</w:t>
      </w:r>
      <w:proofErr w:type="spellEnd"/>
      <w:r w:rsidRPr="000C33AA">
        <w:rPr>
          <w:rFonts w:ascii="Times New Roman" w:hAnsi="Times New Roman"/>
          <w:bCs/>
          <w:i/>
          <w:iCs/>
          <w:sz w:val="24"/>
          <w:szCs w:val="24"/>
        </w:rPr>
        <w:t xml:space="preserve"> </w:t>
      </w:r>
      <w:proofErr w:type="spellStart"/>
      <w:r w:rsidRPr="000C33AA">
        <w:rPr>
          <w:rFonts w:ascii="Times New Roman" w:hAnsi="Times New Roman"/>
          <w:bCs/>
          <w:i/>
          <w:iCs/>
          <w:sz w:val="24"/>
          <w:szCs w:val="24"/>
        </w:rPr>
        <w:t>minimis</w:t>
      </w:r>
      <w:proofErr w:type="spellEnd"/>
      <w:r w:rsidRPr="000C33AA">
        <w:rPr>
          <w:rFonts w:ascii="Times New Roman" w:hAnsi="Times New Roman"/>
          <w:bCs/>
          <w:sz w:val="24"/>
          <w:szCs w:val="24"/>
        </w:rPr>
        <w:t xml:space="preserve"> atbalsts un </w:t>
      </w:r>
      <w:proofErr w:type="spellStart"/>
      <w:r w:rsidRPr="000C33AA">
        <w:rPr>
          <w:rFonts w:ascii="Times New Roman" w:hAnsi="Times New Roman"/>
          <w:bCs/>
          <w:i/>
          <w:iCs/>
          <w:sz w:val="24"/>
          <w:szCs w:val="24"/>
        </w:rPr>
        <w:t>de</w:t>
      </w:r>
      <w:proofErr w:type="spellEnd"/>
      <w:r w:rsidRPr="000C33AA">
        <w:rPr>
          <w:rFonts w:ascii="Times New Roman" w:hAnsi="Times New Roman"/>
          <w:bCs/>
          <w:i/>
          <w:iCs/>
          <w:sz w:val="24"/>
          <w:szCs w:val="24"/>
        </w:rPr>
        <w:t xml:space="preserve"> </w:t>
      </w:r>
      <w:proofErr w:type="spellStart"/>
      <w:r w:rsidRPr="000C33AA">
        <w:rPr>
          <w:rFonts w:ascii="Times New Roman" w:hAnsi="Times New Roman"/>
          <w:bCs/>
          <w:i/>
          <w:iCs/>
          <w:sz w:val="24"/>
          <w:szCs w:val="24"/>
        </w:rPr>
        <w:t>minimis</w:t>
      </w:r>
      <w:proofErr w:type="spellEnd"/>
      <w:r w:rsidRPr="000C33AA">
        <w:rPr>
          <w:rFonts w:ascii="Times New Roman" w:hAnsi="Times New Roman"/>
          <w:bCs/>
          <w:sz w:val="24"/>
          <w:szCs w:val="24"/>
        </w:rPr>
        <w:t xml:space="preserve"> uzskaites veidlapa </w:t>
      </w:r>
      <w:r w:rsidR="003E55EE">
        <w:rPr>
          <w:rFonts w:ascii="Times New Roman" w:hAnsi="Times New Roman"/>
          <w:bCs/>
          <w:sz w:val="24"/>
          <w:szCs w:val="24"/>
        </w:rPr>
        <w:t>nav jāsniedz?</w:t>
      </w:r>
      <w:r w:rsidRPr="000C33AA">
        <w:rPr>
          <w:rFonts w:ascii="Times New Roman" w:hAnsi="Times New Roman"/>
          <w:sz w:val="24"/>
          <w:szCs w:val="24"/>
        </w:rPr>
        <w:t xml:space="preserve"> Tāpat nav skaidrs, kāds projekta īstenošanas veids jānorāda projekta iesnieguma 7.1.sadaļā, jo saskaņā ar aizpildīšanas metodiku ir tikai divi varianti – viens, kad projekta vadību nodrošina darbinieki (tā tad nav veikts iepirkums), un otrs, kad projekta vadību nodrošinās, veicot iepirkuma procedūru. </w:t>
      </w:r>
      <w:r w:rsidRPr="000C33AA">
        <w:rPr>
          <w:rFonts w:ascii="Times New Roman" w:hAnsi="Times New Roman"/>
          <w:bCs/>
          <w:sz w:val="24"/>
          <w:szCs w:val="24"/>
        </w:rPr>
        <w:t>Kāds ir projekta īstenošanas veids gadījumā, kad iepirkums tiek veikts personāla izmaksām un telpām, savukārt netiek veikts pārējām administrēšanas izmaksām (telpu apsaimniekošana, grāmatvedība, u.t.t. saskaņā ar MK 23.1.2.2.punktu)?</w:t>
      </w:r>
    </w:p>
    <w:p w14:paraId="3B281868" w14:textId="145BF557" w:rsidR="000C33AA" w:rsidRDefault="000C33AA" w:rsidP="00204801">
      <w:pPr>
        <w:pStyle w:val="ListParagraph"/>
        <w:spacing w:after="0" w:line="240" w:lineRule="auto"/>
        <w:jc w:val="both"/>
        <w:rPr>
          <w:rFonts w:ascii="Times New Roman" w:hAnsi="Times New Roman"/>
          <w:sz w:val="24"/>
          <w:szCs w:val="24"/>
        </w:rPr>
      </w:pPr>
      <w:r w:rsidRPr="000C33AA">
        <w:rPr>
          <w:rFonts w:ascii="Times New Roman" w:hAnsi="Times New Roman"/>
          <w:b/>
          <w:bCs/>
          <w:sz w:val="24"/>
          <w:szCs w:val="24"/>
        </w:rPr>
        <w:t>Atbilde:</w:t>
      </w:r>
      <w:r w:rsidRPr="000C33AA">
        <w:rPr>
          <w:rFonts w:ascii="Times New Roman" w:hAnsi="Times New Roman"/>
          <w:sz w:val="24"/>
          <w:szCs w:val="24"/>
        </w:rPr>
        <w:t xml:space="preserve"> Bez iepirkuma plānotās administrēšanas izmaksas (telpu apsaimniekošana, grāmatvedība, u.t.t.) būs </w:t>
      </w:r>
      <w:proofErr w:type="spellStart"/>
      <w:r w:rsidRPr="000C33AA">
        <w:rPr>
          <w:rFonts w:ascii="Times New Roman" w:hAnsi="Times New Roman"/>
          <w:i/>
          <w:iCs/>
          <w:sz w:val="24"/>
          <w:szCs w:val="24"/>
        </w:rPr>
        <w:t>de</w:t>
      </w:r>
      <w:proofErr w:type="spellEnd"/>
      <w:r w:rsidRPr="000C33AA">
        <w:rPr>
          <w:rFonts w:ascii="Times New Roman" w:hAnsi="Times New Roman"/>
          <w:i/>
          <w:iCs/>
          <w:sz w:val="24"/>
          <w:szCs w:val="24"/>
        </w:rPr>
        <w:t xml:space="preserve"> </w:t>
      </w:r>
      <w:proofErr w:type="spellStart"/>
      <w:r w:rsidRPr="000C33AA">
        <w:rPr>
          <w:rFonts w:ascii="Times New Roman" w:hAnsi="Times New Roman"/>
          <w:i/>
          <w:iCs/>
          <w:sz w:val="24"/>
          <w:szCs w:val="24"/>
        </w:rPr>
        <w:t>minimis</w:t>
      </w:r>
      <w:proofErr w:type="spellEnd"/>
      <w:r w:rsidRPr="000C33AA">
        <w:rPr>
          <w:rFonts w:ascii="Times New Roman" w:hAnsi="Times New Roman"/>
          <w:sz w:val="24"/>
          <w:szCs w:val="24"/>
        </w:rPr>
        <w:t xml:space="preserve"> atbalsts un </w:t>
      </w:r>
      <w:proofErr w:type="spellStart"/>
      <w:r w:rsidRPr="000C33AA">
        <w:rPr>
          <w:rFonts w:ascii="Times New Roman" w:hAnsi="Times New Roman"/>
          <w:i/>
          <w:iCs/>
          <w:sz w:val="24"/>
          <w:szCs w:val="24"/>
        </w:rPr>
        <w:t>de</w:t>
      </w:r>
      <w:proofErr w:type="spellEnd"/>
      <w:r w:rsidRPr="000C33AA">
        <w:rPr>
          <w:rFonts w:ascii="Times New Roman" w:hAnsi="Times New Roman"/>
          <w:i/>
          <w:iCs/>
          <w:sz w:val="24"/>
          <w:szCs w:val="24"/>
        </w:rPr>
        <w:t xml:space="preserve"> </w:t>
      </w:r>
      <w:proofErr w:type="spellStart"/>
      <w:r w:rsidRPr="000C33AA">
        <w:rPr>
          <w:rFonts w:ascii="Times New Roman" w:hAnsi="Times New Roman"/>
          <w:i/>
          <w:iCs/>
          <w:sz w:val="24"/>
          <w:szCs w:val="24"/>
        </w:rPr>
        <w:t>minimis</w:t>
      </w:r>
      <w:proofErr w:type="spellEnd"/>
      <w:r w:rsidRPr="000C33AA">
        <w:rPr>
          <w:rFonts w:ascii="Times New Roman" w:hAnsi="Times New Roman"/>
          <w:sz w:val="24"/>
          <w:szCs w:val="24"/>
        </w:rPr>
        <w:t xml:space="preserve"> uzskaites veidlapa ir jāsniedz. Nav jāiesniedz tikai gadījumā, ja projekta vadība kopumā tiek iepirkta kā ārpakalpojums, ja iepērk tikai projekta vadītāju un pārējās izmaksas plānotas projektā bez iepirkuma, tad tās ir </w:t>
      </w:r>
      <w:proofErr w:type="spellStart"/>
      <w:r w:rsidRPr="000C33AA">
        <w:rPr>
          <w:rFonts w:ascii="Times New Roman" w:hAnsi="Times New Roman"/>
          <w:i/>
          <w:iCs/>
          <w:sz w:val="24"/>
          <w:szCs w:val="24"/>
        </w:rPr>
        <w:t>de</w:t>
      </w:r>
      <w:proofErr w:type="spellEnd"/>
      <w:r w:rsidRPr="000C33AA">
        <w:rPr>
          <w:rFonts w:ascii="Times New Roman" w:hAnsi="Times New Roman"/>
          <w:i/>
          <w:iCs/>
          <w:sz w:val="24"/>
          <w:szCs w:val="24"/>
        </w:rPr>
        <w:t xml:space="preserve"> </w:t>
      </w:r>
      <w:proofErr w:type="spellStart"/>
      <w:r w:rsidRPr="000C33AA">
        <w:rPr>
          <w:rFonts w:ascii="Times New Roman" w:hAnsi="Times New Roman"/>
          <w:i/>
          <w:iCs/>
          <w:sz w:val="24"/>
          <w:szCs w:val="24"/>
        </w:rPr>
        <w:t>minimis</w:t>
      </w:r>
      <w:proofErr w:type="spellEnd"/>
      <w:r w:rsidRPr="000C33AA">
        <w:rPr>
          <w:rFonts w:ascii="Times New Roman" w:hAnsi="Times New Roman"/>
          <w:sz w:val="24"/>
          <w:szCs w:val="24"/>
        </w:rPr>
        <w:t xml:space="preserve"> atbalsts.</w:t>
      </w:r>
      <w:r>
        <w:rPr>
          <w:rFonts w:ascii="Times New Roman" w:hAnsi="Times New Roman"/>
          <w:sz w:val="24"/>
          <w:szCs w:val="24"/>
        </w:rPr>
        <w:t xml:space="preserve"> </w:t>
      </w:r>
      <w:r w:rsidRPr="000C33AA">
        <w:rPr>
          <w:rFonts w:ascii="Times New Roman" w:hAnsi="Times New Roman"/>
          <w:sz w:val="24"/>
          <w:szCs w:val="24"/>
        </w:rPr>
        <w:t>Projekta iesnieguma sadaļā 7.1.”Projekta īstenošanas veids” gadījumā, kad iepirkums tiek veikts personāla izmaksām un telpām, savukārt netiek veikts pārējām administrēšanas izmaksām (telpu apsaimniekošana, grāmatvedība, u.t.t.), jānorāda “</w:t>
      </w:r>
      <w:r w:rsidRPr="000C33AA">
        <w:rPr>
          <w:rFonts w:ascii="Times New Roman" w:hAnsi="Times New Roman"/>
          <w:b/>
          <w:bCs/>
          <w:sz w:val="24"/>
          <w:szCs w:val="24"/>
        </w:rPr>
        <w:t xml:space="preserve">projektā finansējuma saņēmējs saņem valsts atbalstu un ir valsts atbalsta, t.sk. </w:t>
      </w:r>
      <w:proofErr w:type="spellStart"/>
      <w:r w:rsidRPr="000C33AA">
        <w:rPr>
          <w:rFonts w:ascii="Times New Roman" w:hAnsi="Times New Roman"/>
          <w:b/>
          <w:bCs/>
          <w:sz w:val="24"/>
          <w:szCs w:val="24"/>
        </w:rPr>
        <w:t>de</w:t>
      </w:r>
      <w:proofErr w:type="spellEnd"/>
      <w:r w:rsidRPr="000C33AA">
        <w:rPr>
          <w:rFonts w:ascii="Times New Roman" w:hAnsi="Times New Roman"/>
          <w:b/>
          <w:bCs/>
          <w:sz w:val="24"/>
          <w:szCs w:val="24"/>
        </w:rPr>
        <w:t xml:space="preserve"> </w:t>
      </w:r>
      <w:proofErr w:type="spellStart"/>
      <w:r w:rsidRPr="000C33AA">
        <w:rPr>
          <w:rFonts w:ascii="Times New Roman" w:hAnsi="Times New Roman"/>
          <w:b/>
          <w:bCs/>
          <w:sz w:val="24"/>
          <w:szCs w:val="24"/>
        </w:rPr>
        <w:t>minimis</w:t>
      </w:r>
      <w:proofErr w:type="spellEnd"/>
      <w:r w:rsidRPr="000C33AA">
        <w:rPr>
          <w:rFonts w:ascii="Times New Roman" w:hAnsi="Times New Roman"/>
          <w:b/>
          <w:bCs/>
          <w:sz w:val="24"/>
          <w:szCs w:val="24"/>
        </w:rPr>
        <w:t xml:space="preserve"> atbalsta sniedzējs</w:t>
      </w:r>
      <w:r w:rsidRPr="000C33AA">
        <w:rPr>
          <w:rFonts w:ascii="Times New Roman" w:hAnsi="Times New Roman"/>
          <w:sz w:val="24"/>
          <w:szCs w:val="24"/>
        </w:rPr>
        <w:t>”, jo šajā gadījumā projekta iesniedzējs būs gan valsts atbalsta saņēmējs (</w:t>
      </w:r>
      <w:proofErr w:type="spellStart"/>
      <w:r w:rsidRPr="000C33AA">
        <w:rPr>
          <w:rFonts w:ascii="Times New Roman" w:hAnsi="Times New Roman"/>
          <w:sz w:val="24"/>
          <w:szCs w:val="24"/>
        </w:rPr>
        <w:t>de</w:t>
      </w:r>
      <w:proofErr w:type="spellEnd"/>
      <w:r w:rsidRPr="000C33AA">
        <w:rPr>
          <w:rFonts w:ascii="Times New Roman" w:hAnsi="Times New Roman"/>
          <w:sz w:val="24"/>
          <w:szCs w:val="24"/>
        </w:rPr>
        <w:t xml:space="preserve"> </w:t>
      </w:r>
      <w:proofErr w:type="spellStart"/>
      <w:r w:rsidRPr="000C33AA">
        <w:rPr>
          <w:rFonts w:ascii="Times New Roman" w:hAnsi="Times New Roman"/>
          <w:sz w:val="24"/>
          <w:szCs w:val="24"/>
        </w:rPr>
        <w:t>minimis</w:t>
      </w:r>
      <w:proofErr w:type="spellEnd"/>
      <w:r w:rsidRPr="000C33AA">
        <w:rPr>
          <w:rFonts w:ascii="Times New Roman" w:hAnsi="Times New Roman"/>
          <w:sz w:val="24"/>
          <w:szCs w:val="24"/>
        </w:rPr>
        <w:t xml:space="preserve"> par pārējām administrēšanas izmaksām), gan valsts atbalsta sniedzējs.</w:t>
      </w:r>
    </w:p>
    <w:p w14:paraId="26DFD1CA" w14:textId="77777777" w:rsidR="000C33AA" w:rsidRPr="000C33AA" w:rsidRDefault="000C33AA" w:rsidP="00204801">
      <w:pPr>
        <w:pStyle w:val="ListParagraph"/>
        <w:spacing w:after="0" w:line="240" w:lineRule="auto"/>
        <w:jc w:val="both"/>
        <w:rPr>
          <w:rFonts w:ascii="Times New Roman" w:hAnsi="Times New Roman"/>
          <w:sz w:val="24"/>
          <w:szCs w:val="24"/>
        </w:rPr>
      </w:pPr>
    </w:p>
    <w:p w14:paraId="0C3D0F59" w14:textId="579FB0FC" w:rsidR="000C33AA" w:rsidRPr="000C33AA" w:rsidRDefault="000C33AA" w:rsidP="00204801">
      <w:pPr>
        <w:pStyle w:val="ListParagraph"/>
        <w:numPr>
          <w:ilvl w:val="0"/>
          <w:numId w:val="15"/>
        </w:numPr>
        <w:spacing w:after="0" w:line="240" w:lineRule="auto"/>
        <w:jc w:val="both"/>
        <w:rPr>
          <w:rFonts w:ascii="Times New Roman" w:hAnsi="Times New Roman"/>
          <w:bCs/>
          <w:sz w:val="24"/>
          <w:szCs w:val="24"/>
        </w:rPr>
      </w:pPr>
      <w:r w:rsidRPr="000C33AA">
        <w:rPr>
          <w:rFonts w:ascii="Times New Roman" w:hAnsi="Times New Roman"/>
          <w:bCs/>
          <w:sz w:val="24"/>
          <w:szCs w:val="24"/>
        </w:rPr>
        <w:t>3.1.sadaļa ‘Vienlīdzīgas iespējas’ (VI)</w:t>
      </w:r>
      <w:r w:rsidRPr="000C33AA">
        <w:rPr>
          <w:rFonts w:ascii="Times New Roman" w:hAnsi="Times New Roman"/>
          <w:sz w:val="24"/>
          <w:szCs w:val="24"/>
        </w:rPr>
        <w:t xml:space="preserve"> – projekta iesnieguma aizpildīšanas metodikā aprakstīti visi četri VI aspekti saskaņā ar Labklājības ministrijas dokumentu ‘Metodika horizontālā principa “Vienlīdzības iespējas” īstenošanas uzraudzībai 2014.-2020.gada plānošanas periodā’ un vēl plašāk, paredzot darbības, kuras LM dokumentā tiešā veidā nav norādītas (piemēram, apmācību satura un līdzekļu izstrādē tiks integrēta informācija par personu ar invaliditāti tiesību ievērošanu un iekļaušanu). </w:t>
      </w:r>
      <w:r w:rsidRPr="000C33AA">
        <w:rPr>
          <w:rFonts w:ascii="Times New Roman" w:hAnsi="Times New Roman"/>
          <w:bCs/>
          <w:sz w:val="24"/>
          <w:szCs w:val="24"/>
        </w:rPr>
        <w:t>Vai tiks uzskatīts par ievērotu VI princips, ja paredzēts sekmēt divus no četriem VI aspektiem - dzimumu līdztiesību un personas ar invaliditāti tiesības un iekļaušanās</w:t>
      </w:r>
      <w:r w:rsidRPr="000C33AA">
        <w:rPr>
          <w:rFonts w:ascii="Times New Roman" w:hAnsi="Times New Roman"/>
          <w:sz w:val="24"/>
          <w:szCs w:val="24"/>
        </w:rPr>
        <w:t xml:space="preserve"> – un paredzētas divas no trīs darbībām, lai īstenotu personas ar invaliditāti tiesības un iekļaušanos – atbilstoša/ pielāgota telpu izvēle, mācību materiālu un uzskates līdzekļu piemērošana un izstrāde atbilstoši personas ar invaliditāti vajadzībām, bet nav paredzēta apmācību satura un līdzekļu izstrādē tiks integrēta informācija par personu ar invaliditāti tiesību ievērošanu un iekļaušanu. </w:t>
      </w:r>
      <w:r w:rsidRPr="000C33AA">
        <w:rPr>
          <w:rFonts w:ascii="Times New Roman" w:hAnsi="Times New Roman"/>
          <w:bCs/>
          <w:sz w:val="24"/>
          <w:szCs w:val="24"/>
        </w:rPr>
        <w:t xml:space="preserve">Vai tomēr VI </w:t>
      </w:r>
      <w:r w:rsidR="003E55EE">
        <w:rPr>
          <w:rFonts w:ascii="Times New Roman" w:hAnsi="Times New Roman"/>
          <w:bCs/>
          <w:sz w:val="24"/>
          <w:szCs w:val="24"/>
        </w:rPr>
        <w:t>princips uzskatāms par ievērotu</w:t>
      </w:r>
      <w:r w:rsidRPr="000C33AA">
        <w:rPr>
          <w:rFonts w:ascii="Times New Roman" w:hAnsi="Times New Roman"/>
          <w:bCs/>
          <w:sz w:val="24"/>
          <w:szCs w:val="24"/>
        </w:rPr>
        <w:t xml:space="preserve"> tikai tad, ja tiek realizētas visi četri VI aspekti un īstenotas visas iesnieguma aizpildīšanas metodikā aprakstītās darbības?</w:t>
      </w:r>
    </w:p>
    <w:p w14:paraId="1D827A56" w14:textId="155DF904" w:rsidR="000C33AA" w:rsidRDefault="000C33AA" w:rsidP="00204801">
      <w:pPr>
        <w:pStyle w:val="ListParagraph"/>
        <w:spacing w:after="0" w:line="240" w:lineRule="auto"/>
        <w:jc w:val="both"/>
        <w:rPr>
          <w:rFonts w:ascii="Times New Roman" w:hAnsi="Times New Roman"/>
          <w:sz w:val="24"/>
          <w:szCs w:val="24"/>
        </w:rPr>
      </w:pPr>
      <w:r w:rsidRPr="000C33AA">
        <w:rPr>
          <w:rFonts w:ascii="Times New Roman" w:hAnsi="Times New Roman"/>
          <w:b/>
          <w:bCs/>
          <w:sz w:val="24"/>
          <w:szCs w:val="24"/>
        </w:rPr>
        <w:t>Atbilde:</w:t>
      </w:r>
      <w:r w:rsidRPr="000C33AA">
        <w:rPr>
          <w:rFonts w:ascii="Times New Roman" w:hAnsi="Times New Roman"/>
          <w:sz w:val="24"/>
          <w:szCs w:val="24"/>
        </w:rPr>
        <w:t xml:space="preserve"> </w:t>
      </w:r>
      <w:r w:rsidR="003E55EE">
        <w:rPr>
          <w:rFonts w:ascii="Times New Roman" w:hAnsi="Times New Roman"/>
          <w:sz w:val="24"/>
          <w:szCs w:val="24"/>
        </w:rPr>
        <w:t>T</w:t>
      </w:r>
      <w:r w:rsidRPr="000C33AA">
        <w:rPr>
          <w:rFonts w:ascii="Times New Roman" w:hAnsi="Times New Roman"/>
          <w:sz w:val="24"/>
          <w:szCs w:val="24"/>
        </w:rPr>
        <w:t>iks uzskatīts, ka tiek veicināta horizontālā principa “Vienlīdzīgas iespējas” (VI) ievērošana, ja paredzēts sekmēt divus no četriem VI aspektiem - dzimumu līdztiesību un personas ar invaliditāti tiesības un iekļaušanās – un paredzētas divas no trīs darbībām, lai īstenotu personas ar invaliditāti tiesības un iekļaušanos – atbilstoša/ pielāgota telpu izvēle, mācību materiālu un uzskates līdzekļu piemērošana un izstrāde atbilstoši personas ar invaliditāti vajadzībām.</w:t>
      </w:r>
    </w:p>
    <w:p w14:paraId="737FFB49" w14:textId="77777777" w:rsidR="000C33AA" w:rsidRPr="000C33AA" w:rsidRDefault="000C33AA" w:rsidP="00204801">
      <w:pPr>
        <w:pStyle w:val="ListParagraph"/>
        <w:spacing w:after="0" w:line="240" w:lineRule="auto"/>
        <w:jc w:val="both"/>
        <w:rPr>
          <w:rFonts w:ascii="Times New Roman" w:hAnsi="Times New Roman"/>
          <w:sz w:val="24"/>
          <w:szCs w:val="24"/>
        </w:rPr>
      </w:pPr>
    </w:p>
    <w:p w14:paraId="49CAB802" w14:textId="77777777" w:rsidR="000C33AA" w:rsidRPr="009C28B1" w:rsidRDefault="000C33AA" w:rsidP="00204801">
      <w:pPr>
        <w:pStyle w:val="NormalWeb"/>
        <w:numPr>
          <w:ilvl w:val="0"/>
          <w:numId w:val="15"/>
        </w:numPr>
        <w:spacing w:before="0" w:beforeAutospacing="0" w:after="0" w:afterAutospacing="0"/>
        <w:jc w:val="both"/>
      </w:pPr>
      <w:r w:rsidRPr="009C28B1">
        <w:t>Jautājums par 4. vērtēšanas kritēriju. Kā atbilstoši nolikumam būtu jāplāno šī sadarbība ar izglītības iestādēm, augstskolām, zinātniskām institūcijām? Kā iepirkums projekta īstenošanas laikā vai projekta sagatavošanas laikā jāiekļauj, ka būs sadarbība ar kādu konkrētu iestādi un šī iestāde ir kā sadarbības partneris, uz kuru neattiecas publiskā iepirkuma likums?</w:t>
      </w:r>
    </w:p>
    <w:p w14:paraId="01020CF5" w14:textId="77777777" w:rsidR="000C33AA" w:rsidRPr="000C33AA" w:rsidRDefault="000C33AA" w:rsidP="00204801">
      <w:pPr>
        <w:pStyle w:val="ListParagraph"/>
        <w:spacing w:after="0" w:line="240" w:lineRule="auto"/>
        <w:jc w:val="both"/>
        <w:rPr>
          <w:rFonts w:ascii="Times New Roman" w:hAnsi="Times New Roman"/>
          <w:sz w:val="24"/>
          <w:szCs w:val="24"/>
        </w:rPr>
      </w:pPr>
      <w:r w:rsidRPr="000C33AA">
        <w:rPr>
          <w:rFonts w:ascii="Times New Roman" w:hAnsi="Times New Roman"/>
          <w:b/>
          <w:bCs/>
          <w:sz w:val="24"/>
          <w:szCs w:val="24"/>
        </w:rPr>
        <w:t>Atbilde:</w:t>
      </w:r>
      <w:r w:rsidRPr="000C33AA">
        <w:rPr>
          <w:rFonts w:ascii="Times New Roman" w:hAnsi="Times New Roman"/>
          <w:sz w:val="24"/>
          <w:szCs w:val="24"/>
        </w:rPr>
        <w:t xml:space="preserve"> Projekta iesniegumā jānorāda, vai ir izvērtēta potenciālā sadarbība un profesionālās izglītības iestāžu, augstskolu un zinātnisko  iespējas piedāvāt nozarei nepieciešamās apmācības, minot konkrētu iestāžu nosaukumus, kuru piedāvājums ir apzināts un izvērtēts. Partneri, kurus norāda projekta iesniegumā kā projekta sadarbības partnerus, 1.2.2.1. pasākuma projektos nav paredzēti, tātad attiecas iepirkums, tāpat kā uz pārējo apmācību sniedzējiem.</w:t>
      </w:r>
    </w:p>
    <w:p w14:paraId="12A18C79" w14:textId="77777777" w:rsidR="006D1634" w:rsidRDefault="006D1634" w:rsidP="00204801">
      <w:pPr>
        <w:pStyle w:val="ListParagraph"/>
        <w:spacing w:after="0" w:line="240" w:lineRule="auto"/>
        <w:ind w:left="2880"/>
        <w:jc w:val="both"/>
        <w:rPr>
          <w:rFonts w:ascii="Times New Roman" w:hAnsi="Times New Roman"/>
          <w:sz w:val="24"/>
          <w:szCs w:val="24"/>
        </w:rPr>
      </w:pPr>
    </w:p>
    <w:p w14:paraId="5A96C8BC" w14:textId="21D904AC" w:rsidR="006D1634" w:rsidRPr="003E55EE" w:rsidRDefault="006D1634" w:rsidP="00204801">
      <w:pPr>
        <w:spacing w:after="0" w:line="240" w:lineRule="auto"/>
        <w:jc w:val="center"/>
        <w:rPr>
          <w:rFonts w:ascii="Times New Roman" w:hAnsi="Times New Roman"/>
          <w:b/>
          <w:sz w:val="28"/>
          <w:szCs w:val="28"/>
          <w:u w:val="single"/>
        </w:rPr>
      </w:pPr>
      <w:r w:rsidRPr="003E55EE">
        <w:rPr>
          <w:rFonts w:ascii="Times New Roman" w:hAnsi="Times New Roman"/>
          <w:b/>
          <w:sz w:val="28"/>
          <w:szCs w:val="28"/>
          <w:u w:val="single"/>
        </w:rPr>
        <w:t>Projektu īstenošanas jautājumi</w:t>
      </w:r>
    </w:p>
    <w:p w14:paraId="11847714" w14:textId="77777777" w:rsidR="006D1634" w:rsidRPr="009C28B1" w:rsidRDefault="006D1634" w:rsidP="00204801">
      <w:pPr>
        <w:pStyle w:val="ListParagraph"/>
        <w:spacing w:after="0" w:line="240" w:lineRule="auto"/>
        <w:ind w:left="2880"/>
        <w:jc w:val="both"/>
        <w:rPr>
          <w:rFonts w:ascii="Times New Roman" w:hAnsi="Times New Roman"/>
          <w:sz w:val="24"/>
          <w:szCs w:val="24"/>
        </w:rPr>
      </w:pPr>
    </w:p>
    <w:p w14:paraId="67764623" w14:textId="072B4B7E" w:rsidR="001A7977" w:rsidRPr="000C33AA" w:rsidRDefault="000C33AA"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t>Va</w:t>
      </w:r>
      <w:r w:rsidR="001A7977" w:rsidRPr="000C33AA">
        <w:rPr>
          <w:rFonts w:ascii="Times New Roman" w:hAnsi="Times New Roman"/>
          <w:sz w:val="24"/>
          <w:szCs w:val="24"/>
        </w:rPr>
        <w:t>i projekta vadības ārpakalpojuma piegādātāji un pārējo (telpu īres, kancelejas, datoru nomas, juridiskās, grāmatvedības) pozīciju piegādātāji tiks vērtēti kā piegādātāji ar atšķirīgu saturu, materiāli – tehnisko nodrošinājumu un piegādātāju loku, kas nozīmētu, ka projekta iesniedzējam abas piegādātāju grupas, izvērtējot iepirkuma procedūras nepieciešamību (summa katrai grupai virs vai zem 70 000 EUR),  būtu jāapskata kā 2 atšķirīgi iepirkuma priekšmeta subjekti?</w:t>
      </w:r>
    </w:p>
    <w:p w14:paraId="3F6DA413" w14:textId="447980DE" w:rsidR="008B23E8" w:rsidRDefault="008B23E8" w:rsidP="00204801">
      <w:pPr>
        <w:pStyle w:val="ListParagraph"/>
        <w:spacing w:after="0" w:line="240" w:lineRule="auto"/>
        <w:jc w:val="both"/>
        <w:rPr>
          <w:rFonts w:ascii="Times New Roman" w:hAnsi="Times New Roman"/>
          <w:sz w:val="24"/>
          <w:szCs w:val="24"/>
        </w:rPr>
      </w:pPr>
      <w:r w:rsidRPr="000C33AA">
        <w:rPr>
          <w:rFonts w:ascii="Times New Roman" w:hAnsi="Times New Roman"/>
          <w:b/>
          <w:sz w:val="24"/>
          <w:szCs w:val="24"/>
        </w:rPr>
        <w:t>Atbilde:</w:t>
      </w:r>
      <w:r w:rsidR="00041E2E" w:rsidRPr="000C33AA">
        <w:rPr>
          <w:rFonts w:ascii="Times New Roman" w:hAnsi="Times New Roman"/>
          <w:sz w:val="24"/>
          <w:szCs w:val="24"/>
        </w:rPr>
        <w:t xml:space="preserve"> </w:t>
      </w:r>
      <w:r w:rsidR="007F7194" w:rsidRPr="000C33AA">
        <w:rPr>
          <w:rFonts w:ascii="Times New Roman" w:hAnsi="Times New Roman"/>
          <w:sz w:val="24"/>
          <w:szCs w:val="24"/>
        </w:rPr>
        <w:t>Jā, projekta vadības ārpakalpojuma piegādātāji (ar noteikumu, ka projektu vadības izmaksās tiek iekļauta tikai samaksa par darbu) un pārējo (telpu īres, kancelejas, datoru nomas, juridiskās, grāmatvedības) pozīciju piegādātāji būtu jāapskata kā divi atšķirīgi iepirkuma priekšmeta subjekti, jo tiem ir dažāds pakalpojumu sniedzēju loks.</w:t>
      </w:r>
    </w:p>
    <w:p w14:paraId="771D9A8E" w14:textId="77777777" w:rsidR="000C33AA" w:rsidRPr="000C33AA" w:rsidRDefault="000C33AA" w:rsidP="00204801">
      <w:pPr>
        <w:pStyle w:val="ListParagraph"/>
        <w:spacing w:after="0" w:line="240" w:lineRule="auto"/>
        <w:jc w:val="both"/>
        <w:rPr>
          <w:rFonts w:ascii="Times New Roman" w:hAnsi="Times New Roman"/>
          <w:sz w:val="24"/>
          <w:szCs w:val="24"/>
        </w:rPr>
      </w:pPr>
    </w:p>
    <w:p w14:paraId="5BDA992C" w14:textId="2AB7CF56" w:rsidR="001A7977" w:rsidRPr="000C33AA" w:rsidRDefault="001A7977"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t xml:space="preserve">Ņemot vērā, ka apmācību aktivitātes šajā programmā ir vērstas uz jaunu produktu un pieeju attīstīšanu RIS 3 jomās caur konkrētu nozaru komersantu nodarbināto produktivitātes un konkurētspējas celšanu, būtu nesamērīgi pieprasīt, lai apmācību sniedzēji  licencētu savas tālākizglītības programmas (īpaši, ja apmācību sniedzēji ir nozaru profesionāļi, atsevišķos gadījumos no citām valstīm). Kas ir domāts ar – licenci konkrētu apmācību sniegšanai? Vai ir obligāts nosacījums par licencētu programmu? </w:t>
      </w:r>
    </w:p>
    <w:p w14:paraId="6C330420" w14:textId="77777777" w:rsidR="008B23E8" w:rsidRDefault="008B23E8" w:rsidP="00204801">
      <w:pPr>
        <w:pStyle w:val="ListParagraph"/>
        <w:spacing w:after="0" w:line="240" w:lineRule="auto"/>
        <w:jc w:val="both"/>
        <w:rPr>
          <w:rFonts w:ascii="Times New Roman" w:hAnsi="Times New Roman"/>
          <w:sz w:val="24"/>
          <w:szCs w:val="24"/>
        </w:rPr>
      </w:pPr>
      <w:r w:rsidRPr="000C33AA">
        <w:rPr>
          <w:rFonts w:ascii="Times New Roman" w:hAnsi="Times New Roman"/>
          <w:b/>
          <w:sz w:val="24"/>
          <w:szCs w:val="24"/>
        </w:rPr>
        <w:t>Atbilde:</w:t>
      </w:r>
      <w:r w:rsidRPr="000C33AA">
        <w:rPr>
          <w:rFonts w:ascii="Times New Roman" w:hAnsi="Times New Roman"/>
          <w:sz w:val="24"/>
          <w:szCs w:val="24"/>
        </w:rPr>
        <w:t xml:space="preserve"> Licencei jābūt tādu apmācību sniegšanā, kurām jābūt licencētām atbilstoši normatīvajiem aktiem. Nav obligāts nosacījums </w:t>
      </w:r>
      <w:r w:rsidR="00B43043" w:rsidRPr="000C33AA">
        <w:rPr>
          <w:rFonts w:ascii="Times New Roman" w:hAnsi="Times New Roman"/>
          <w:sz w:val="24"/>
          <w:szCs w:val="24"/>
        </w:rPr>
        <w:t xml:space="preserve">par </w:t>
      </w:r>
      <w:r w:rsidRPr="000C33AA">
        <w:rPr>
          <w:rFonts w:ascii="Times New Roman" w:hAnsi="Times New Roman"/>
          <w:sz w:val="24"/>
          <w:szCs w:val="24"/>
        </w:rPr>
        <w:t>tikai par licencēt</w:t>
      </w:r>
      <w:r w:rsidR="00B43043" w:rsidRPr="000C33AA">
        <w:rPr>
          <w:rFonts w:ascii="Times New Roman" w:hAnsi="Times New Roman"/>
          <w:sz w:val="24"/>
          <w:szCs w:val="24"/>
        </w:rPr>
        <w:t>u</w:t>
      </w:r>
      <w:r w:rsidRPr="000C33AA">
        <w:rPr>
          <w:rFonts w:ascii="Times New Roman" w:hAnsi="Times New Roman"/>
          <w:sz w:val="24"/>
          <w:szCs w:val="24"/>
        </w:rPr>
        <w:t xml:space="preserve"> programm</w:t>
      </w:r>
      <w:r w:rsidR="00B43043" w:rsidRPr="000C33AA">
        <w:rPr>
          <w:rFonts w:ascii="Times New Roman" w:hAnsi="Times New Roman"/>
          <w:sz w:val="24"/>
          <w:szCs w:val="24"/>
        </w:rPr>
        <w:t>u apguvi</w:t>
      </w:r>
      <w:r w:rsidRPr="000C33AA">
        <w:rPr>
          <w:rFonts w:ascii="Times New Roman" w:hAnsi="Times New Roman"/>
          <w:sz w:val="24"/>
          <w:szCs w:val="24"/>
        </w:rPr>
        <w:t>.</w:t>
      </w:r>
    </w:p>
    <w:p w14:paraId="45BF26C2" w14:textId="77777777" w:rsidR="000C33AA" w:rsidRPr="000C33AA" w:rsidRDefault="000C33AA" w:rsidP="00204801">
      <w:pPr>
        <w:pStyle w:val="ListParagraph"/>
        <w:spacing w:after="0" w:line="240" w:lineRule="auto"/>
        <w:jc w:val="both"/>
        <w:rPr>
          <w:rFonts w:ascii="Times New Roman" w:hAnsi="Times New Roman"/>
          <w:sz w:val="24"/>
          <w:szCs w:val="24"/>
        </w:rPr>
      </w:pPr>
    </w:p>
    <w:p w14:paraId="7E83DC01" w14:textId="72FB5A0D" w:rsidR="001A7977" w:rsidRPr="000C33AA" w:rsidRDefault="001A7977"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t>Vai par nodarbinātu personu uzskatāma tikai un vienīgi persona, kurai ir aktīvs darba līgums ar uzņēmumu? Vai personas, kurām tiek nodrošināta prakse uzņēmuma nevar tikt apmācītas šajā programmā?</w:t>
      </w:r>
      <w:r w:rsidR="00D8659C" w:rsidRPr="000C33AA">
        <w:rPr>
          <w:rFonts w:ascii="Times New Roman" w:hAnsi="Times New Roman"/>
          <w:sz w:val="24"/>
          <w:szCs w:val="24"/>
        </w:rPr>
        <w:t xml:space="preserve"> </w:t>
      </w:r>
      <w:r w:rsidRPr="000C33AA">
        <w:rPr>
          <w:rFonts w:ascii="Times New Roman" w:hAnsi="Times New Roman"/>
          <w:sz w:val="24"/>
          <w:szCs w:val="24"/>
        </w:rPr>
        <w:t>Kādā veidā Projekta iesniedzējs var gūt juridiski patiesu apliecinājumu, ka konkrētā persona ir darba attiecībās ar konkrētu komersantu?  </w:t>
      </w:r>
      <w:r w:rsidR="00D8659C" w:rsidRPr="000C33AA">
        <w:rPr>
          <w:rFonts w:ascii="Times New Roman" w:hAnsi="Times New Roman"/>
          <w:sz w:val="24"/>
          <w:szCs w:val="24"/>
        </w:rPr>
        <w:t>Vai būs biedrībām piekļuve VID datubāzei, lai biedrības varētu pārbaudīt nodarbināto statusu (darba attiecības ar komersantu)?</w:t>
      </w:r>
    </w:p>
    <w:p w14:paraId="26F97DFD" w14:textId="340F5F9D" w:rsidR="00E25B16" w:rsidRPr="000C33AA" w:rsidRDefault="008B23E8" w:rsidP="00204801">
      <w:pPr>
        <w:pStyle w:val="ListParagraph"/>
        <w:spacing w:after="0" w:line="240" w:lineRule="auto"/>
        <w:jc w:val="both"/>
        <w:rPr>
          <w:rFonts w:ascii="Times New Roman" w:hAnsi="Times New Roman"/>
          <w:sz w:val="24"/>
          <w:szCs w:val="24"/>
        </w:rPr>
      </w:pPr>
      <w:r w:rsidRPr="000C33AA">
        <w:rPr>
          <w:rFonts w:ascii="Times New Roman" w:hAnsi="Times New Roman"/>
          <w:b/>
          <w:sz w:val="24"/>
          <w:szCs w:val="24"/>
        </w:rPr>
        <w:t>Atbilde:</w:t>
      </w:r>
      <w:r w:rsidR="00041E2E" w:rsidRPr="000C33AA">
        <w:rPr>
          <w:rFonts w:ascii="Times New Roman" w:hAnsi="Times New Roman"/>
          <w:b/>
          <w:sz w:val="24"/>
          <w:szCs w:val="24"/>
        </w:rPr>
        <w:t xml:space="preserve"> </w:t>
      </w:r>
      <w:r w:rsidR="00E25B16" w:rsidRPr="000C33AA">
        <w:rPr>
          <w:rFonts w:ascii="Times New Roman" w:hAnsi="Times New Roman"/>
          <w:sz w:val="24"/>
          <w:szCs w:val="24"/>
        </w:rPr>
        <w:t xml:space="preserve">Nodarbinātais ir tikai tas, kuram ir darba līgums ar komersantu. Tātad, praktikantus, amatpersonas, nodarbinātos uz uzņēmuma līguma pamata nav paredzēts apmācīt. </w:t>
      </w:r>
      <w:r w:rsidR="00A27EBA" w:rsidRPr="000C33AA">
        <w:rPr>
          <w:rFonts w:ascii="Times New Roman" w:hAnsi="Times New Roman"/>
          <w:sz w:val="24"/>
          <w:szCs w:val="24"/>
        </w:rPr>
        <w:t xml:space="preserve">Biedrība </w:t>
      </w:r>
      <w:r w:rsidR="00E25B16" w:rsidRPr="000C33AA">
        <w:rPr>
          <w:rFonts w:ascii="Times New Roman" w:hAnsi="Times New Roman"/>
          <w:sz w:val="24"/>
          <w:szCs w:val="24"/>
        </w:rPr>
        <w:t xml:space="preserve">ir atbildīga par to, ka visi apmācītie ir ar darba līgumiem. CFLA veiks izlases veida pārbaudes pie maksājuma pieprasījuma, </w:t>
      </w:r>
      <w:r w:rsidR="00E25B16" w:rsidRPr="000C33AA">
        <w:rPr>
          <w:rFonts w:ascii="Times New Roman" w:hAnsi="Times New Roman"/>
          <w:sz w:val="24"/>
          <w:szCs w:val="24"/>
        </w:rPr>
        <w:lastRenderedPageBreak/>
        <w:t>t.i., pēc tam, kad mācības jau būs beigušās. Ja konstatēs, ka apmācītajiem nav darba līgumi, neatbilstoši veiktie izdevumi būs jāatmaksā finansējuma saņēmējam (</w:t>
      </w:r>
      <w:r w:rsidR="00A27EBA" w:rsidRPr="000C33AA">
        <w:rPr>
          <w:rFonts w:ascii="Times New Roman" w:hAnsi="Times New Roman"/>
          <w:sz w:val="24"/>
          <w:szCs w:val="24"/>
        </w:rPr>
        <w:t>biedrība</w:t>
      </w:r>
      <w:r w:rsidR="00E25B16" w:rsidRPr="000C33AA">
        <w:rPr>
          <w:rFonts w:ascii="Times New Roman" w:hAnsi="Times New Roman"/>
          <w:sz w:val="24"/>
          <w:szCs w:val="24"/>
        </w:rPr>
        <w:t xml:space="preserve">). Tā ir </w:t>
      </w:r>
      <w:r w:rsidR="00A27EBA" w:rsidRPr="000C33AA">
        <w:rPr>
          <w:rFonts w:ascii="Times New Roman" w:hAnsi="Times New Roman"/>
          <w:sz w:val="24"/>
          <w:szCs w:val="24"/>
        </w:rPr>
        <w:t xml:space="preserve">biedrības </w:t>
      </w:r>
      <w:r w:rsidR="00E25B16" w:rsidRPr="000C33AA">
        <w:rPr>
          <w:rFonts w:ascii="Times New Roman" w:hAnsi="Times New Roman"/>
          <w:sz w:val="24"/>
          <w:szCs w:val="24"/>
        </w:rPr>
        <w:t xml:space="preserve">atbildība tālāk kārtot attiecības ar komersantiem. Lai pirms apmācībām pārliecinātos par darba līgumiem, iesakām </w:t>
      </w:r>
      <w:r w:rsidR="00A27EBA" w:rsidRPr="000C33AA">
        <w:rPr>
          <w:rFonts w:ascii="Times New Roman" w:hAnsi="Times New Roman"/>
          <w:sz w:val="24"/>
          <w:szCs w:val="24"/>
        </w:rPr>
        <w:t xml:space="preserve">biedrībai </w:t>
      </w:r>
      <w:r w:rsidR="00E25B16" w:rsidRPr="000C33AA">
        <w:rPr>
          <w:rFonts w:ascii="Times New Roman" w:hAnsi="Times New Roman"/>
          <w:sz w:val="24"/>
          <w:szCs w:val="24"/>
        </w:rPr>
        <w:t xml:space="preserve">prasīt apliecinājumus no komersantiem un nodarbinātajiem, ka viņiem ir noslēgti darba līgumi. Kā arī </w:t>
      </w:r>
      <w:r w:rsidR="00A27EBA" w:rsidRPr="000C33AA">
        <w:rPr>
          <w:rFonts w:ascii="Times New Roman" w:hAnsi="Times New Roman"/>
          <w:sz w:val="24"/>
          <w:szCs w:val="24"/>
        </w:rPr>
        <w:t xml:space="preserve">biedrībām </w:t>
      </w:r>
      <w:r w:rsidR="00E25B16" w:rsidRPr="000C33AA">
        <w:rPr>
          <w:rFonts w:ascii="Times New Roman" w:hAnsi="Times New Roman"/>
          <w:sz w:val="24"/>
          <w:szCs w:val="24"/>
        </w:rPr>
        <w:t xml:space="preserve">jau laicīgi ir jāvienojas ar komersantiem, kā komersanti atmaksās atbalstu </w:t>
      </w:r>
      <w:r w:rsidR="00A27EBA" w:rsidRPr="000C33AA">
        <w:rPr>
          <w:rFonts w:ascii="Times New Roman" w:hAnsi="Times New Roman"/>
          <w:sz w:val="24"/>
          <w:szCs w:val="24"/>
        </w:rPr>
        <w:t>biedrībai</w:t>
      </w:r>
      <w:r w:rsidR="00E25B16" w:rsidRPr="000C33AA">
        <w:rPr>
          <w:rFonts w:ascii="Times New Roman" w:hAnsi="Times New Roman"/>
          <w:sz w:val="24"/>
          <w:szCs w:val="24"/>
        </w:rPr>
        <w:t>, ja CFLA konstatēs problēmas.</w:t>
      </w:r>
    </w:p>
    <w:p w14:paraId="239C1C4F" w14:textId="51258F35" w:rsidR="008B23E8" w:rsidRPr="009C28B1" w:rsidRDefault="008B23E8" w:rsidP="00204801">
      <w:pPr>
        <w:pStyle w:val="ListParagraph"/>
        <w:spacing w:after="0" w:line="240" w:lineRule="auto"/>
        <w:jc w:val="both"/>
        <w:rPr>
          <w:rFonts w:ascii="Times New Roman" w:hAnsi="Times New Roman"/>
          <w:b/>
          <w:sz w:val="24"/>
          <w:szCs w:val="24"/>
        </w:rPr>
      </w:pPr>
    </w:p>
    <w:p w14:paraId="07EFAD2B" w14:textId="700DBFF2" w:rsidR="003E1B3B" w:rsidRPr="000C33AA" w:rsidRDefault="00D8659C"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t xml:space="preserve">Ko darīt, ja konstatē, ka pēc finansējuma izlietošanas kāds no komersantiem kļūst maksātnespējīgs? Vai tiek piemērota finanšu korekcija? </w:t>
      </w:r>
      <w:r w:rsidR="003E1B3B" w:rsidRPr="000C33AA">
        <w:rPr>
          <w:rFonts w:ascii="Times New Roman" w:hAnsi="Times New Roman"/>
          <w:sz w:val="24"/>
          <w:szCs w:val="24"/>
        </w:rPr>
        <w:t xml:space="preserve">Vai Projekta iesniedzējam būs paredzēta atbildība atmaksāt 100% ES līdzfinansējumu, gadījumos, ja projekta laikā un </w:t>
      </w:r>
      <w:proofErr w:type="spellStart"/>
      <w:r w:rsidR="003E1B3B" w:rsidRPr="000C33AA">
        <w:rPr>
          <w:rFonts w:ascii="Times New Roman" w:hAnsi="Times New Roman"/>
          <w:sz w:val="24"/>
          <w:szCs w:val="24"/>
        </w:rPr>
        <w:t>pēcuzraudzības</w:t>
      </w:r>
      <w:proofErr w:type="spellEnd"/>
      <w:r w:rsidR="003E1B3B" w:rsidRPr="000C33AA">
        <w:rPr>
          <w:rFonts w:ascii="Times New Roman" w:hAnsi="Times New Roman"/>
          <w:sz w:val="24"/>
          <w:szCs w:val="24"/>
        </w:rPr>
        <w:t xml:space="preserve"> periodā kāds no gala labuma saņēmējiem kļūs maksātnespējīgs? Ja jā, tad no kādiem līdzekļiem tas būtu iespējams, ja viss līdzfinansējums par attiecināmām izmaksām tiek izmaksāts gala saņēmējam un maksātnespējas gadījumā nav atgūstams pārskatāmā periodā, pat gadījumā, ja to nosaka līgumiskās tiesības. Vai tas nozīmētu, ka pie pirmā maksātnespējas gadījuma projekta iesniedzējam jāizbeidz projekta realizācija?</w:t>
      </w:r>
    </w:p>
    <w:p w14:paraId="10052701" w14:textId="204E2205" w:rsidR="00D8659C" w:rsidRDefault="00E25B16" w:rsidP="00204801">
      <w:pPr>
        <w:pStyle w:val="ListParagraph"/>
        <w:spacing w:after="0" w:line="240" w:lineRule="auto"/>
        <w:jc w:val="both"/>
        <w:rPr>
          <w:rFonts w:ascii="Times New Roman" w:hAnsi="Times New Roman"/>
          <w:sz w:val="24"/>
          <w:szCs w:val="24"/>
        </w:rPr>
      </w:pPr>
      <w:r w:rsidRPr="000C33AA">
        <w:rPr>
          <w:rFonts w:ascii="Times New Roman" w:hAnsi="Times New Roman"/>
          <w:b/>
          <w:sz w:val="24"/>
          <w:szCs w:val="24"/>
        </w:rPr>
        <w:t xml:space="preserve">Atbilde: </w:t>
      </w:r>
      <w:r w:rsidR="00D8659C" w:rsidRPr="000C33AA">
        <w:rPr>
          <w:rFonts w:ascii="Times New Roman" w:hAnsi="Times New Roman"/>
          <w:sz w:val="24"/>
          <w:szCs w:val="24"/>
        </w:rPr>
        <w:t>MK noteikumi par SAM pasākuma 1.2.2.1. īstenošanu paredz, ka uzraudzības rādītāji (komersantu skaits, atbalstu saņēmušo personu skaits, inovatīvo komersantu procentuālā attiecība pret kopējo komersantu skaitu, sertificētie izdevumi) ir jāsasniedz līdz noteiktam datumam (31.12.2018. un 31.12.2023.). Ja finansējuma saņēmējs spēj nodrošināt, ka viss projekta iesniegumā apsolītais, tai skaitā uzraudzības rādītāji, tiek izpildīts, tad CFLA nav pamata pieprasīt valsts atbalsta, ko finansējuma saņēmējs ir piešķīris gala labuma guvējam, atmaksu.</w:t>
      </w:r>
      <w:r w:rsidR="000C33AA">
        <w:rPr>
          <w:rFonts w:ascii="Times New Roman" w:hAnsi="Times New Roman"/>
          <w:sz w:val="24"/>
          <w:szCs w:val="24"/>
        </w:rPr>
        <w:t xml:space="preserve"> </w:t>
      </w:r>
      <w:r w:rsidR="00D8659C" w:rsidRPr="000C33AA">
        <w:rPr>
          <w:rFonts w:ascii="Times New Roman" w:hAnsi="Times New Roman"/>
          <w:sz w:val="24"/>
          <w:szCs w:val="24"/>
        </w:rPr>
        <w:t>Būtu stingri ieteicams, lai finansējuma saņēmējs sagatavotu dokumentālus pierādījumus, kas apliecina, ka brīdī, kad finansējuma saņēmējs ir pieņēmis lēmumu par valsts atbalsta sniegšanu gala labuma guvējam, finansējuma saņēmējs ir guvis pārliecību par gala labuma guvēja atbilstību valsts atbalsta piešķiršanas nosacījumiem. Valsts atbalsta piešķiršanas noteikumi ir atrodami Regulas Nr.</w:t>
      </w:r>
      <w:hyperlink r:id="rId7" w:history="1">
        <w:r w:rsidR="00D8659C" w:rsidRPr="000C33AA">
          <w:rPr>
            <w:rStyle w:val="Hyperlink"/>
            <w:rFonts w:ascii="Times New Roman" w:hAnsi="Times New Roman"/>
            <w:color w:val="auto"/>
            <w:sz w:val="24"/>
            <w:szCs w:val="24"/>
          </w:rPr>
          <w:t>651/2014</w:t>
        </w:r>
      </w:hyperlink>
      <w:r w:rsidR="00D8659C" w:rsidRPr="000C33AA">
        <w:rPr>
          <w:rFonts w:ascii="Times New Roman" w:hAnsi="Times New Roman"/>
          <w:sz w:val="24"/>
          <w:szCs w:val="24"/>
        </w:rPr>
        <w:t xml:space="preserve"> I nodaļā un 31.pantā. Piemēram, ir finansējuma saņēmējam ir jāpārliecinās, ka gala labuma guvējs nav grūtībās nonācis uzņēmums, kam nedrīkst piešķirt valsts atbalstu (Regulas Nr.</w:t>
      </w:r>
      <w:hyperlink r:id="rId8" w:history="1">
        <w:r w:rsidR="00D8659C" w:rsidRPr="000C33AA">
          <w:rPr>
            <w:rStyle w:val="Hyperlink"/>
            <w:rFonts w:ascii="Times New Roman" w:hAnsi="Times New Roman"/>
            <w:color w:val="auto"/>
            <w:sz w:val="24"/>
            <w:szCs w:val="24"/>
          </w:rPr>
          <w:t>651/2014</w:t>
        </w:r>
      </w:hyperlink>
      <w:r w:rsidR="00D8659C" w:rsidRPr="000C33AA">
        <w:rPr>
          <w:rFonts w:ascii="Times New Roman" w:hAnsi="Times New Roman"/>
          <w:sz w:val="24"/>
          <w:szCs w:val="24"/>
        </w:rPr>
        <w:t xml:space="preserve"> 1.panta 4.punkta c) apakšpunkts).</w:t>
      </w:r>
      <w:r w:rsidR="000C33AA">
        <w:rPr>
          <w:rFonts w:ascii="Times New Roman" w:hAnsi="Times New Roman"/>
          <w:sz w:val="24"/>
          <w:szCs w:val="24"/>
        </w:rPr>
        <w:t xml:space="preserve"> </w:t>
      </w:r>
      <w:r w:rsidR="003E1B3B" w:rsidRPr="000C33AA">
        <w:rPr>
          <w:rFonts w:ascii="Times New Roman" w:hAnsi="Times New Roman"/>
          <w:sz w:val="24"/>
          <w:szCs w:val="24"/>
        </w:rPr>
        <w:t>J</w:t>
      </w:r>
      <w:r w:rsidR="00D8659C" w:rsidRPr="000C33AA">
        <w:rPr>
          <w:rFonts w:ascii="Times New Roman" w:hAnsi="Times New Roman"/>
          <w:sz w:val="24"/>
          <w:szCs w:val="24"/>
        </w:rPr>
        <w:t>āņem vērā, ka finansējuma saņēmējs un gala labuma guvējs glabā dokumentus par valsts atbalstu 10 gadus</w:t>
      </w:r>
      <w:r w:rsidR="003E1B3B" w:rsidRPr="000C33AA">
        <w:rPr>
          <w:rFonts w:ascii="Times New Roman" w:hAnsi="Times New Roman"/>
          <w:sz w:val="24"/>
          <w:szCs w:val="24"/>
        </w:rPr>
        <w:t xml:space="preserve">. </w:t>
      </w:r>
      <w:r w:rsidR="00D8659C" w:rsidRPr="000C33AA">
        <w:rPr>
          <w:rFonts w:ascii="Times New Roman" w:hAnsi="Times New Roman"/>
          <w:sz w:val="24"/>
          <w:szCs w:val="24"/>
        </w:rPr>
        <w:t>Eiropas Komisija šo 10 gadu laikā var interesēties, kāds atbalsts kam un kāpēc ir piešķirts, un var pieprasīt uzrādīt valsts atbalsta piešķiršanas procesu apliecinošos dokumentus (Regulas Nr.</w:t>
      </w:r>
      <w:hyperlink r:id="rId9" w:history="1">
        <w:r w:rsidR="00D8659C" w:rsidRPr="000C33AA">
          <w:rPr>
            <w:rStyle w:val="Hyperlink"/>
            <w:rFonts w:ascii="Times New Roman" w:hAnsi="Times New Roman"/>
            <w:color w:val="auto"/>
            <w:sz w:val="24"/>
            <w:szCs w:val="24"/>
          </w:rPr>
          <w:t>659/1999</w:t>
        </w:r>
      </w:hyperlink>
      <w:r w:rsidR="00D8659C" w:rsidRPr="000C33AA">
        <w:rPr>
          <w:rFonts w:ascii="Times New Roman" w:hAnsi="Times New Roman"/>
          <w:sz w:val="24"/>
          <w:szCs w:val="24"/>
        </w:rPr>
        <w:t xml:space="preserve"> 15.pants, Regulas Nr.</w:t>
      </w:r>
      <w:hyperlink r:id="rId10" w:history="1">
        <w:r w:rsidR="00D8659C" w:rsidRPr="000C33AA">
          <w:rPr>
            <w:rStyle w:val="Hyperlink"/>
            <w:rFonts w:ascii="Times New Roman" w:hAnsi="Times New Roman"/>
            <w:color w:val="auto"/>
            <w:sz w:val="24"/>
            <w:szCs w:val="24"/>
          </w:rPr>
          <w:t>651/2014</w:t>
        </w:r>
      </w:hyperlink>
      <w:r w:rsidR="00D8659C" w:rsidRPr="000C33AA">
        <w:rPr>
          <w:rFonts w:ascii="Times New Roman" w:hAnsi="Times New Roman"/>
          <w:sz w:val="24"/>
          <w:szCs w:val="24"/>
        </w:rPr>
        <w:t xml:space="preserve"> 12.pants, Regulas Nr.</w:t>
      </w:r>
      <w:hyperlink r:id="rId11" w:history="1">
        <w:r w:rsidR="00D8659C" w:rsidRPr="000C33AA">
          <w:rPr>
            <w:rStyle w:val="Hyperlink"/>
            <w:rFonts w:ascii="Times New Roman" w:hAnsi="Times New Roman"/>
            <w:color w:val="auto"/>
            <w:sz w:val="24"/>
            <w:szCs w:val="24"/>
          </w:rPr>
          <w:t>1407/2013</w:t>
        </w:r>
      </w:hyperlink>
      <w:r w:rsidR="003E1B3B" w:rsidRPr="000C33AA">
        <w:rPr>
          <w:rFonts w:ascii="Times New Roman" w:hAnsi="Times New Roman"/>
          <w:sz w:val="24"/>
          <w:szCs w:val="24"/>
        </w:rPr>
        <w:t xml:space="preserve"> 6. panta 4.punkts).</w:t>
      </w:r>
    </w:p>
    <w:p w14:paraId="2580859B" w14:textId="77777777" w:rsidR="000C33AA" w:rsidRPr="000C33AA" w:rsidRDefault="000C33AA" w:rsidP="00204801">
      <w:pPr>
        <w:pStyle w:val="ListParagraph"/>
        <w:spacing w:after="0" w:line="240" w:lineRule="auto"/>
        <w:jc w:val="both"/>
        <w:rPr>
          <w:rFonts w:ascii="Times New Roman" w:hAnsi="Times New Roman"/>
          <w:sz w:val="24"/>
          <w:szCs w:val="24"/>
        </w:rPr>
      </w:pPr>
    </w:p>
    <w:p w14:paraId="5F7C5504" w14:textId="73764009" w:rsidR="00D8659C" w:rsidRPr="000C33AA" w:rsidRDefault="003346A7"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t>V</w:t>
      </w:r>
      <w:r w:rsidR="00D8659C" w:rsidRPr="000C33AA">
        <w:rPr>
          <w:rFonts w:ascii="Times New Roman" w:hAnsi="Times New Roman"/>
          <w:sz w:val="24"/>
          <w:szCs w:val="24"/>
        </w:rPr>
        <w:t>ai apmācībām un to  materiāliem jābūt valsts valodā? Vai biedrībām  materiāli ir jāglabā vai pietiek tikai ar darba kārtībām?</w:t>
      </w:r>
    </w:p>
    <w:p w14:paraId="3FD668AC" w14:textId="77777777" w:rsidR="00D8659C" w:rsidRDefault="00D8659C" w:rsidP="00204801">
      <w:pPr>
        <w:pStyle w:val="ListParagraph"/>
        <w:spacing w:after="0" w:line="240" w:lineRule="auto"/>
        <w:jc w:val="both"/>
        <w:rPr>
          <w:rFonts w:ascii="Times New Roman" w:hAnsi="Times New Roman"/>
          <w:sz w:val="24"/>
          <w:szCs w:val="24"/>
        </w:rPr>
      </w:pPr>
      <w:r w:rsidRPr="000C33AA">
        <w:rPr>
          <w:rFonts w:ascii="Times New Roman" w:hAnsi="Times New Roman"/>
          <w:b/>
          <w:sz w:val="24"/>
          <w:szCs w:val="24"/>
        </w:rPr>
        <w:t>Atbilde:</w:t>
      </w:r>
      <w:r w:rsidRPr="000C33AA">
        <w:rPr>
          <w:rFonts w:ascii="Times New Roman" w:hAnsi="Times New Roman"/>
          <w:sz w:val="24"/>
          <w:szCs w:val="24"/>
        </w:rPr>
        <w:t xml:space="preserve"> Nav nosacījuma, ka apmācību valodai jābūt latviešu. Biedrībām apmācību materiāli nav jāglabā, pietiek ar darba kārtībām un darbu materiālu titullapu.</w:t>
      </w:r>
    </w:p>
    <w:p w14:paraId="707BD2AF" w14:textId="77777777" w:rsidR="000C33AA" w:rsidRPr="000C33AA" w:rsidRDefault="000C33AA" w:rsidP="00204801">
      <w:pPr>
        <w:pStyle w:val="ListParagraph"/>
        <w:spacing w:after="0" w:line="240" w:lineRule="auto"/>
        <w:jc w:val="both"/>
        <w:rPr>
          <w:rFonts w:ascii="Times New Roman" w:hAnsi="Times New Roman"/>
          <w:sz w:val="24"/>
          <w:szCs w:val="24"/>
        </w:rPr>
      </w:pPr>
    </w:p>
    <w:p w14:paraId="3FD4469C" w14:textId="20512108" w:rsidR="00D8659C" w:rsidRPr="000C33AA" w:rsidRDefault="00D8659C"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t xml:space="preserve">Vai ir atbalstāmas tālmācības apmācības? </w:t>
      </w:r>
    </w:p>
    <w:p w14:paraId="41EADA6E" w14:textId="6273C75C" w:rsidR="00D8659C" w:rsidRDefault="00D8659C" w:rsidP="00204801">
      <w:pPr>
        <w:pStyle w:val="ListParagraph"/>
        <w:spacing w:after="0" w:line="240" w:lineRule="auto"/>
        <w:jc w:val="both"/>
        <w:rPr>
          <w:rFonts w:ascii="Times New Roman" w:hAnsi="Times New Roman"/>
          <w:sz w:val="24"/>
          <w:szCs w:val="24"/>
        </w:rPr>
      </w:pPr>
      <w:r w:rsidRPr="000C33AA">
        <w:rPr>
          <w:rFonts w:ascii="Times New Roman" w:hAnsi="Times New Roman"/>
          <w:b/>
          <w:sz w:val="24"/>
          <w:szCs w:val="24"/>
        </w:rPr>
        <w:t>Atbilde:</w:t>
      </w:r>
      <w:r w:rsidRPr="000C33AA">
        <w:rPr>
          <w:rFonts w:ascii="Times New Roman" w:hAnsi="Times New Roman"/>
          <w:sz w:val="24"/>
          <w:szCs w:val="24"/>
        </w:rPr>
        <w:t xml:space="preserve"> </w:t>
      </w:r>
      <w:r w:rsidR="0086294A">
        <w:rPr>
          <w:rFonts w:ascii="Times New Roman" w:hAnsi="Times New Roman"/>
          <w:sz w:val="24"/>
          <w:szCs w:val="24"/>
        </w:rPr>
        <w:t xml:space="preserve">Jā. </w:t>
      </w:r>
      <w:r w:rsidR="0086294A" w:rsidRPr="0086294A">
        <w:rPr>
          <w:rFonts w:ascii="Times New Roman" w:hAnsi="Times New Roman"/>
          <w:sz w:val="24"/>
          <w:szCs w:val="24"/>
        </w:rPr>
        <w:t xml:space="preserve">Tālmācību gadījumos tiek sūtīta pieeja (caur reģistrāciju). Tas nozīmē, ka šajā gadījumā nebūs reģistrācija ar parakstu, bet gan reģistrācija caur </w:t>
      </w:r>
      <w:r w:rsidR="0086294A" w:rsidRPr="0086294A">
        <w:rPr>
          <w:rFonts w:ascii="Times New Roman" w:hAnsi="Times New Roman"/>
          <w:sz w:val="24"/>
          <w:szCs w:val="24"/>
        </w:rPr>
        <w:lastRenderedPageBreak/>
        <w:t>sistēmu. Kā pamatojošais dokuments būs izdruka no sistēmas un izsniegto sertifikātu saraksts. Papildus tam rādītājā – personas, kas ir saņēmušas nefinansiālu atbalstu, tiks ieskaitītas tikai tās personas, kas ir saņēmušas sertifikātu par apmācību pabeigšanu. Par atbalstāmām tālmācības apmācībām tiks uzskatītas tāds apmācību kurss, kuru programmā būs paredzēts gala pārbaudījums pēc kursu pabeigšanas un izsniegts atbilstošs sertifikāts.</w:t>
      </w:r>
    </w:p>
    <w:p w14:paraId="594E7E9B" w14:textId="77777777" w:rsidR="000C33AA" w:rsidRPr="000C33AA" w:rsidRDefault="000C33AA" w:rsidP="00204801">
      <w:pPr>
        <w:pStyle w:val="ListParagraph"/>
        <w:spacing w:after="0" w:line="240" w:lineRule="auto"/>
        <w:jc w:val="both"/>
        <w:rPr>
          <w:rFonts w:ascii="Times New Roman" w:hAnsi="Times New Roman"/>
          <w:sz w:val="24"/>
          <w:szCs w:val="24"/>
        </w:rPr>
      </w:pPr>
    </w:p>
    <w:p w14:paraId="6602497C" w14:textId="0D7C3CEB" w:rsidR="00D8659C" w:rsidRPr="000C33AA" w:rsidRDefault="00D8659C"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t xml:space="preserve">Par biedrību lēmumiem par atbalsta piešķiršanu gala labuma saņēmējiem – vai pietiek, ka biedrība lēmumu pieņem reizi gadā, veicot </w:t>
      </w:r>
      <w:proofErr w:type="spellStart"/>
      <w:r w:rsidRPr="000C33AA">
        <w:rPr>
          <w:rFonts w:ascii="Times New Roman" w:hAnsi="Times New Roman"/>
          <w:sz w:val="24"/>
          <w:szCs w:val="24"/>
        </w:rPr>
        <w:t>izvērtējumu</w:t>
      </w:r>
      <w:proofErr w:type="spellEnd"/>
      <w:r w:rsidRPr="000C33AA">
        <w:rPr>
          <w:rFonts w:ascii="Times New Roman" w:hAnsi="Times New Roman"/>
          <w:sz w:val="24"/>
          <w:szCs w:val="24"/>
        </w:rPr>
        <w:t xml:space="preserve"> par komersanta atbilstību prasībām?</w:t>
      </w:r>
    </w:p>
    <w:p w14:paraId="7CB0B229" w14:textId="3BFB83A3" w:rsidR="00620D46" w:rsidRDefault="00D8659C" w:rsidP="00204801">
      <w:pPr>
        <w:pStyle w:val="ListParagraph"/>
        <w:spacing w:after="0" w:line="240" w:lineRule="auto"/>
        <w:jc w:val="both"/>
        <w:rPr>
          <w:rFonts w:ascii="Times New Roman" w:hAnsi="Times New Roman"/>
          <w:sz w:val="24"/>
          <w:szCs w:val="24"/>
        </w:rPr>
      </w:pPr>
      <w:r w:rsidRPr="000C33AA">
        <w:rPr>
          <w:rFonts w:ascii="Times New Roman" w:hAnsi="Times New Roman"/>
          <w:b/>
          <w:sz w:val="24"/>
          <w:szCs w:val="24"/>
        </w:rPr>
        <w:t>Atbilde:</w:t>
      </w:r>
      <w:r w:rsidR="00F86E99" w:rsidRPr="000C33AA">
        <w:rPr>
          <w:rFonts w:ascii="Times New Roman" w:hAnsi="Times New Roman"/>
          <w:b/>
          <w:sz w:val="24"/>
          <w:szCs w:val="24"/>
        </w:rPr>
        <w:t xml:space="preserve"> </w:t>
      </w:r>
      <w:r w:rsidR="00620D46" w:rsidRPr="000C33AA">
        <w:rPr>
          <w:rFonts w:ascii="Times New Roman" w:hAnsi="Times New Roman"/>
          <w:sz w:val="24"/>
          <w:szCs w:val="24"/>
        </w:rPr>
        <w:t>Biedrība var izvēlēties, vai izvērtēt gala labuma saņēmēju par katru apmācību kursu, kur gala labuma saņēmējs piesakās, vai pieņemt lēmumu par atbalsta piešķiršanu attiecībā uz vairākiem kursiem. Ja gala labuma saņēmējs neatbildīs valsts atbalsta saņemšanas nosacījumiem un piedalīsies apmācībās, apmācību izdevumi būs neatbilstoši veikti izdevumi. Ja gala labuma guvējs piesakās dalībai apmācību kursā un attiecībā uz dalību šajā kursā biedrība vēl nav pieņēmusi lēmumu par valsts atbalsta sniegšanu gala labuma guvējam, biedrība izvērtē gala labuma guvēja atbilstību valsts atbalsta saņemšanas nosacījumiem un pieņem lēmumu par valsts atbalsta piešķiršanu.</w:t>
      </w:r>
      <w:r w:rsidR="000C33AA">
        <w:rPr>
          <w:rFonts w:ascii="Times New Roman" w:hAnsi="Times New Roman"/>
          <w:sz w:val="24"/>
          <w:szCs w:val="24"/>
        </w:rPr>
        <w:t xml:space="preserve"> </w:t>
      </w:r>
      <w:r w:rsidR="00620D46" w:rsidRPr="000C33AA">
        <w:rPr>
          <w:rFonts w:ascii="Times New Roman" w:hAnsi="Times New Roman"/>
          <w:sz w:val="24"/>
          <w:szCs w:val="24"/>
        </w:rPr>
        <w:t>Biedrībai ir nepieciešams ievērot Ministru kabineta noteikumos ietvertos nosacījumus, kas attiecas uz valsts atbalstu, piemēram, pieļaujamā finansējuma intensitāte, projekta īstenošanas izmaksu pozīcijas, projekta īstenošanas beigu datums u.tml.</w:t>
      </w:r>
      <w:r w:rsidR="000C33AA">
        <w:rPr>
          <w:rFonts w:ascii="Times New Roman" w:hAnsi="Times New Roman"/>
          <w:sz w:val="24"/>
          <w:szCs w:val="24"/>
        </w:rPr>
        <w:t xml:space="preserve"> </w:t>
      </w:r>
      <w:r w:rsidR="00620D46" w:rsidRPr="000C33AA">
        <w:rPr>
          <w:rFonts w:ascii="Times New Roman" w:hAnsi="Times New Roman"/>
          <w:sz w:val="24"/>
          <w:szCs w:val="24"/>
        </w:rPr>
        <w:t>Biedrībai ir ieteicams līgumā ar gala labuma guvēju paredzēt pienākumu, ka gala labuma guvējs informēs biedrību, ja gala labuma guvējs neatbilst valsts atbalsta piešķiršanas nosacījumiem, tai skaitā, ir kļuvis par grūtībās nonākušu uzņēmumu.</w:t>
      </w:r>
    </w:p>
    <w:p w14:paraId="245595DB" w14:textId="77777777" w:rsidR="003E55EE" w:rsidRPr="000C33AA" w:rsidRDefault="003E55EE" w:rsidP="00204801">
      <w:pPr>
        <w:pStyle w:val="ListParagraph"/>
        <w:spacing w:after="0" w:line="240" w:lineRule="auto"/>
        <w:jc w:val="both"/>
        <w:rPr>
          <w:rFonts w:ascii="Times New Roman" w:hAnsi="Times New Roman"/>
          <w:sz w:val="24"/>
          <w:szCs w:val="24"/>
        </w:rPr>
      </w:pPr>
    </w:p>
    <w:p w14:paraId="1792760A" w14:textId="4C977E4B" w:rsidR="00D8659C" w:rsidRPr="000C33AA" w:rsidRDefault="00D8659C"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t>Kādus pamatojošos dokumentus būs nepieciešams iesniegt kopā ar maksājuma pieprasījumu?</w:t>
      </w:r>
    </w:p>
    <w:p w14:paraId="68C72856" w14:textId="606E3A52" w:rsidR="00D8659C" w:rsidRPr="000C33AA" w:rsidRDefault="00D8659C" w:rsidP="00204801">
      <w:pPr>
        <w:pStyle w:val="ListParagraph"/>
        <w:spacing w:after="0" w:line="240" w:lineRule="auto"/>
        <w:jc w:val="both"/>
        <w:rPr>
          <w:rFonts w:ascii="Times New Roman" w:hAnsi="Times New Roman"/>
          <w:sz w:val="24"/>
          <w:szCs w:val="24"/>
        </w:rPr>
      </w:pPr>
      <w:r w:rsidRPr="000C33AA">
        <w:rPr>
          <w:rFonts w:ascii="Times New Roman" w:hAnsi="Times New Roman"/>
          <w:b/>
          <w:sz w:val="24"/>
          <w:szCs w:val="24"/>
        </w:rPr>
        <w:t>Atbilde:</w:t>
      </w:r>
      <w:r w:rsidRPr="000C33AA">
        <w:rPr>
          <w:rFonts w:ascii="Times New Roman" w:hAnsi="Times New Roman"/>
          <w:sz w:val="24"/>
          <w:szCs w:val="24"/>
        </w:rPr>
        <w:t xml:space="preserve"> CFLA </w:t>
      </w:r>
      <w:r w:rsidR="001D0637" w:rsidRPr="000C33AA">
        <w:rPr>
          <w:rFonts w:ascii="Times New Roman" w:hAnsi="Times New Roman"/>
          <w:sz w:val="24"/>
          <w:szCs w:val="24"/>
        </w:rPr>
        <w:t xml:space="preserve">tīmekļa vietnē </w:t>
      </w:r>
      <w:r w:rsidRPr="000C33AA">
        <w:rPr>
          <w:rFonts w:ascii="Times New Roman" w:hAnsi="Times New Roman"/>
          <w:sz w:val="24"/>
          <w:szCs w:val="24"/>
        </w:rPr>
        <w:t>tiks publicēts pamatojošo dokumentu saraksts.</w:t>
      </w:r>
    </w:p>
    <w:p w14:paraId="5DA56D7D" w14:textId="77777777" w:rsidR="006D1634" w:rsidRPr="009C28B1" w:rsidRDefault="006D1634" w:rsidP="00204801">
      <w:pPr>
        <w:spacing w:after="0" w:line="240" w:lineRule="auto"/>
        <w:jc w:val="both"/>
        <w:rPr>
          <w:rFonts w:ascii="Times New Roman" w:hAnsi="Times New Roman" w:cs="Times New Roman"/>
          <w:sz w:val="24"/>
          <w:szCs w:val="24"/>
        </w:rPr>
      </w:pPr>
    </w:p>
    <w:p w14:paraId="3B6348C1" w14:textId="6237290F" w:rsidR="00D8659C" w:rsidRPr="000C33AA" w:rsidRDefault="00D8659C"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t>Vai KP VIS varētu tikt izveidota atsevišķa sadaļa “Apmācību plāns”?</w:t>
      </w:r>
    </w:p>
    <w:p w14:paraId="2E662F60" w14:textId="77777777" w:rsidR="006D1634" w:rsidRPr="000C33AA" w:rsidRDefault="00D8659C" w:rsidP="00204801">
      <w:pPr>
        <w:pStyle w:val="ListParagraph"/>
        <w:spacing w:after="0" w:line="240" w:lineRule="auto"/>
        <w:jc w:val="both"/>
        <w:rPr>
          <w:rFonts w:ascii="Times New Roman" w:hAnsi="Times New Roman"/>
          <w:sz w:val="24"/>
          <w:szCs w:val="24"/>
        </w:rPr>
      </w:pPr>
      <w:r w:rsidRPr="000C33AA">
        <w:rPr>
          <w:rFonts w:ascii="Times New Roman" w:hAnsi="Times New Roman"/>
          <w:b/>
          <w:sz w:val="24"/>
          <w:szCs w:val="24"/>
        </w:rPr>
        <w:t>Atbilde:</w:t>
      </w:r>
      <w:r w:rsidRPr="000C33AA">
        <w:rPr>
          <w:rFonts w:ascii="Times New Roman" w:hAnsi="Times New Roman"/>
          <w:sz w:val="24"/>
          <w:szCs w:val="24"/>
        </w:rPr>
        <w:t xml:space="preserve"> Izvērtēsim šādu iespēju. Ja KP VIS nebūs atsevišķa sadaļa apmācību plānu ievadei, tad finansējuma saņēmējam jāizmanto sadaļa “Sarakste”, pievienojot attiecīgo dokumentu vai tiešā e-pasta sarakste ar projektam nozīmēto CFLA projekta vadītāju.</w:t>
      </w:r>
    </w:p>
    <w:p w14:paraId="0ED01F30" w14:textId="5B4AFEFF" w:rsidR="00D8659C" w:rsidRPr="009C28B1" w:rsidRDefault="00D8659C" w:rsidP="00204801">
      <w:pPr>
        <w:spacing w:after="0" w:line="240" w:lineRule="auto"/>
        <w:ind w:firstLine="120"/>
        <w:jc w:val="both"/>
        <w:rPr>
          <w:rFonts w:ascii="Times New Roman" w:hAnsi="Times New Roman" w:cs="Times New Roman"/>
          <w:sz w:val="24"/>
          <w:szCs w:val="24"/>
        </w:rPr>
      </w:pPr>
    </w:p>
    <w:p w14:paraId="17569A5E" w14:textId="77777777" w:rsidR="001D0637" w:rsidRPr="000C33AA" w:rsidRDefault="001D0637"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t>No kura datuma projekta iesniedzējs var slēgt līgumu par projekta vadības ārpakalpojuma sniedzēja piesaistīšanu?</w:t>
      </w:r>
    </w:p>
    <w:p w14:paraId="706CC25D" w14:textId="6D3BEC2A" w:rsidR="001D0637" w:rsidRDefault="001D0637" w:rsidP="00204801">
      <w:pPr>
        <w:pStyle w:val="ListParagraph"/>
        <w:spacing w:after="0" w:line="240" w:lineRule="auto"/>
        <w:jc w:val="both"/>
        <w:rPr>
          <w:rFonts w:ascii="Times New Roman" w:hAnsi="Times New Roman"/>
          <w:sz w:val="24"/>
          <w:szCs w:val="24"/>
        </w:rPr>
      </w:pPr>
      <w:r w:rsidRPr="000C33AA">
        <w:rPr>
          <w:rFonts w:ascii="Times New Roman" w:hAnsi="Times New Roman"/>
          <w:b/>
          <w:bCs/>
          <w:sz w:val="24"/>
          <w:szCs w:val="24"/>
        </w:rPr>
        <w:t>Atbilde:</w:t>
      </w:r>
      <w:r w:rsidRPr="000C33AA">
        <w:rPr>
          <w:rFonts w:ascii="Times New Roman" w:hAnsi="Times New Roman"/>
          <w:sz w:val="24"/>
          <w:szCs w:val="24"/>
        </w:rPr>
        <w:t xml:space="preserve"> Nav nosacījumi par konkrētiem datumiem. MK noteikumu Nr.617 26.punkts nosaka atba</w:t>
      </w:r>
      <w:r w:rsidR="00F86E99" w:rsidRPr="000C33AA">
        <w:rPr>
          <w:rFonts w:ascii="Times New Roman" w:hAnsi="Times New Roman"/>
          <w:sz w:val="24"/>
          <w:szCs w:val="24"/>
        </w:rPr>
        <w:t>lstāmo darbību uzsākšanas laiku. Līgumi var būt noslēgti pirms projekta iesnieguma iesniegšanas CFLA (t.sk. iepriekšējos gados, piemēram, par biedrības telpu nomu).</w:t>
      </w:r>
    </w:p>
    <w:p w14:paraId="14ABFFC9" w14:textId="77777777" w:rsidR="000C33AA" w:rsidRPr="000C33AA" w:rsidRDefault="000C33AA" w:rsidP="00204801">
      <w:pPr>
        <w:pStyle w:val="ListParagraph"/>
        <w:spacing w:after="0" w:line="240" w:lineRule="auto"/>
        <w:jc w:val="both"/>
        <w:rPr>
          <w:rFonts w:ascii="Times New Roman" w:hAnsi="Times New Roman"/>
          <w:sz w:val="24"/>
          <w:szCs w:val="24"/>
        </w:rPr>
      </w:pPr>
    </w:p>
    <w:p w14:paraId="42DA37A9" w14:textId="77777777" w:rsidR="001D0637" w:rsidRPr="000C33AA" w:rsidRDefault="001D0637" w:rsidP="00204801">
      <w:pPr>
        <w:pStyle w:val="ListParagraph"/>
        <w:numPr>
          <w:ilvl w:val="0"/>
          <w:numId w:val="15"/>
        </w:numPr>
        <w:spacing w:after="0" w:line="240" w:lineRule="auto"/>
        <w:jc w:val="both"/>
        <w:rPr>
          <w:rFonts w:ascii="Times New Roman" w:hAnsi="Times New Roman"/>
          <w:sz w:val="24"/>
          <w:szCs w:val="24"/>
        </w:rPr>
      </w:pPr>
      <w:r w:rsidRPr="000C33AA">
        <w:rPr>
          <w:rFonts w:ascii="Times New Roman" w:hAnsi="Times New Roman"/>
          <w:sz w:val="24"/>
          <w:szCs w:val="24"/>
        </w:rPr>
        <w:t>Kādi apliecinošie dokumenti projekta iesniedzējam ir jānodrošina un jāglabā, izvēloties projekta vadības ārpakalpojuma sniedzēju, ja paredzamā līgumcena projekta ietvaros nepārsniedz 70 000 EUR?</w:t>
      </w:r>
    </w:p>
    <w:p w14:paraId="489617F9" w14:textId="77777777" w:rsidR="001D0637" w:rsidRPr="000C33AA" w:rsidRDefault="001D0637" w:rsidP="00204801">
      <w:pPr>
        <w:pStyle w:val="ListParagraph"/>
        <w:spacing w:after="0" w:line="240" w:lineRule="auto"/>
        <w:jc w:val="both"/>
        <w:rPr>
          <w:rFonts w:ascii="Times New Roman" w:hAnsi="Times New Roman"/>
          <w:sz w:val="24"/>
          <w:szCs w:val="24"/>
        </w:rPr>
      </w:pPr>
      <w:r w:rsidRPr="000C33AA">
        <w:rPr>
          <w:rFonts w:ascii="Times New Roman" w:hAnsi="Times New Roman"/>
          <w:b/>
          <w:bCs/>
          <w:sz w:val="24"/>
          <w:szCs w:val="24"/>
        </w:rPr>
        <w:t>Atbilde:</w:t>
      </w:r>
      <w:r w:rsidRPr="000C33AA">
        <w:rPr>
          <w:rFonts w:ascii="Times New Roman" w:hAnsi="Times New Roman"/>
          <w:sz w:val="24"/>
          <w:szCs w:val="24"/>
        </w:rPr>
        <w:t xml:space="preserve"> Ja paredzamā līgumcena projekta ietvaros nepārsniedz 70 000 EUR, ir jāveic tirgus izpēte vai cenu aptauja. </w:t>
      </w:r>
    </w:p>
    <w:p w14:paraId="41229388" w14:textId="77777777" w:rsidR="001D0637" w:rsidRPr="000C33AA" w:rsidRDefault="001D0637" w:rsidP="00204801">
      <w:pPr>
        <w:numPr>
          <w:ilvl w:val="1"/>
          <w:numId w:val="13"/>
        </w:numPr>
        <w:spacing w:after="0" w:line="240" w:lineRule="auto"/>
        <w:jc w:val="both"/>
        <w:rPr>
          <w:rFonts w:ascii="Times New Roman" w:hAnsi="Times New Roman" w:cs="Times New Roman"/>
          <w:sz w:val="24"/>
          <w:szCs w:val="24"/>
        </w:rPr>
      </w:pPr>
      <w:r w:rsidRPr="000C33AA">
        <w:rPr>
          <w:rFonts w:ascii="Times New Roman" w:hAnsi="Times New Roman" w:cs="Times New Roman"/>
          <w:sz w:val="24"/>
          <w:szCs w:val="24"/>
        </w:rPr>
        <w:lastRenderedPageBreak/>
        <w:t xml:space="preserve">Tirgus izpētes gadījumā jāiesniedz CFLA: sarakstes (veikta jebkādā formā) izdrukas ar piegādātājiem un/vai pakalpojumu veicējiem (labā prakse – vismaz trīs); ja veikta telefonaptauja vai piegādātāji aptaujāti klātienē – protokols, apkopojums vai cits dokuments brīvā formā, kurā tiek norādīts reģistrētais telefonsarunas vai aptaujas klātienē laiks, piegādātāja nosaukums, piedāvātā cena, piegādātāja apliecinājums, ka piegādātājs ir informēts par būtiskākajiem līguma izpildei izvirzītajiem nosacījumiem, t.sk., kvalifikācijas prasības; atbildīgā darbinieka atskaite (ziņojums) vai iepirkuma komisijas protokols ar situācijas </w:t>
      </w:r>
      <w:proofErr w:type="spellStart"/>
      <w:r w:rsidRPr="000C33AA">
        <w:rPr>
          <w:rFonts w:ascii="Times New Roman" w:hAnsi="Times New Roman" w:cs="Times New Roman"/>
          <w:sz w:val="24"/>
          <w:szCs w:val="24"/>
        </w:rPr>
        <w:t>izvērtējumu</w:t>
      </w:r>
      <w:proofErr w:type="spellEnd"/>
      <w:r w:rsidRPr="000C33AA">
        <w:rPr>
          <w:rFonts w:ascii="Times New Roman" w:hAnsi="Times New Roman" w:cs="Times New Roman"/>
          <w:sz w:val="24"/>
          <w:szCs w:val="24"/>
        </w:rPr>
        <w:t xml:space="preserve"> un lēmumu, apliecinājums par interešu konflikta neesamību ar pakalpojuma sniedzēju/piegādātāju, ar kuru noslēgts līgums (MK Nr.299 1.pielikums).</w:t>
      </w:r>
    </w:p>
    <w:p w14:paraId="6682ADB5" w14:textId="77777777" w:rsidR="001D0637" w:rsidRPr="000C33AA" w:rsidRDefault="001D0637" w:rsidP="00204801">
      <w:pPr>
        <w:numPr>
          <w:ilvl w:val="1"/>
          <w:numId w:val="13"/>
        </w:numPr>
        <w:spacing w:after="0" w:line="240" w:lineRule="auto"/>
        <w:jc w:val="both"/>
        <w:rPr>
          <w:rFonts w:ascii="Times New Roman" w:hAnsi="Times New Roman" w:cs="Times New Roman"/>
          <w:sz w:val="24"/>
          <w:szCs w:val="24"/>
        </w:rPr>
      </w:pPr>
      <w:r w:rsidRPr="000C33AA">
        <w:rPr>
          <w:rFonts w:ascii="Times New Roman" w:hAnsi="Times New Roman" w:cs="Times New Roman"/>
          <w:sz w:val="24"/>
          <w:szCs w:val="24"/>
        </w:rPr>
        <w:t xml:space="preserve">Pie maksājuma pieprasījuma jāiesniedz CFLA: </w:t>
      </w:r>
    </w:p>
    <w:p w14:paraId="3E4EE8C6" w14:textId="77777777" w:rsidR="001D0637" w:rsidRPr="000C33AA" w:rsidRDefault="001D0637" w:rsidP="00204801">
      <w:pPr>
        <w:pStyle w:val="ListParagraph"/>
        <w:numPr>
          <w:ilvl w:val="2"/>
          <w:numId w:val="13"/>
        </w:numPr>
        <w:spacing w:after="0" w:line="240" w:lineRule="auto"/>
        <w:jc w:val="both"/>
        <w:rPr>
          <w:rFonts w:ascii="Times New Roman" w:hAnsi="Times New Roman"/>
          <w:sz w:val="24"/>
          <w:szCs w:val="24"/>
        </w:rPr>
      </w:pPr>
      <w:r w:rsidRPr="000C33AA">
        <w:rPr>
          <w:rFonts w:ascii="Times New Roman" w:hAnsi="Times New Roman"/>
          <w:sz w:val="24"/>
          <w:szCs w:val="24"/>
          <w:lang w:eastAsia="lv-LV"/>
        </w:rPr>
        <w:t xml:space="preserve">-pakalpojuma vai uzņēmuma līgums; </w:t>
      </w:r>
    </w:p>
    <w:p w14:paraId="7444BC9B" w14:textId="77777777" w:rsidR="001D0637" w:rsidRPr="000C33AA" w:rsidRDefault="001D0637" w:rsidP="00204801">
      <w:pPr>
        <w:pStyle w:val="ListParagraph"/>
        <w:numPr>
          <w:ilvl w:val="2"/>
          <w:numId w:val="13"/>
        </w:numPr>
        <w:spacing w:after="0" w:line="240" w:lineRule="auto"/>
        <w:jc w:val="both"/>
        <w:rPr>
          <w:rFonts w:ascii="Times New Roman" w:hAnsi="Times New Roman"/>
          <w:sz w:val="24"/>
          <w:szCs w:val="24"/>
        </w:rPr>
      </w:pPr>
      <w:r w:rsidRPr="000C33AA">
        <w:rPr>
          <w:rFonts w:ascii="Times New Roman" w:hAnsi="Times New Roman"/>
          <w:sz w:val="24"/>
          <w:szCs w:val="24"/>
        </w:rPr>
        <w:t>-</w:t>
      </w:r>
      <w:r w:rsidRPr="000C33AA">
        <w:rPr>
          <w:rFonts w:ascii="Times New Roman" w:hAnsi="Times New Roman"/>
          <w:sz w:val="24"/>
          <w:szCs w:val="24"/>
          <w:lang w:eastAsia="lv-LV"/>
        </w:rPr>
        <w:t xml:space="preserve">atlīdzības un nodokļu aprēķins </w:t>
      </w:r>
      <w:r w:rsidRPr="000C33AA">
        <w:rPr>
          <w:rFonts w:ascii="Times New Roman" w:hAnsi="Times New Roman"/>
          <w:i/>
          <w:iCs/>
          <w:sz w:val="24"/>
          <w:szCs w:val="24"/>
          <w:lang w:eastAsia="lv-LV"/>
        </w:rPr>
        <w:t xml:space="preserve">(ja uzņēmuma līgums, nav </w:t>
      </w:r>
      <w:proofErr w:type="spellStart"/>
      <w:r w:rsidRPr="000C33AA">
        <w:rPr>
          <w:rFonts w:ascii="Times New Roman" w:hAnsi="Times New Roman"/>
          <w:i/>
          <w:iCs/>
          <w:sz w:val="24"/>
          <w:szCs w:val="24"/>
          <w:lang w:eastAsia="lv-LV"/>
        </w:rPr>
        <w:t>pašnodarbināta</w:t>
      </w:r>
      <w:proofErr w:type="spellEnd"/>
      <w:r w:rsidRPr="000C33AA">
        <w:rPr>
          <w:rFonts w:ascii="Times New Roman" w:hAnsi="Times New Roman"/>
          <w:i/>
          <w:iCs/>
          <w:sz w:val="24"/>
          <w:szCs w:val="24"/>
          <w:lang w:eastAsia="lv-LV"/>
        </w:rPr>
        <w:t xml:space="preserve"> persona);</w:t>
      </w:r>
    </w:p>
    <w:p w14:paraId="0C048DDB" w14:textId="77777777" w:rsidR="001D0637" w:rsidRPr="000C33AA" w:rsidRDefault="001D0637" w:rsidP="00204801">
      <w:pPr>
        <w:pStyle w:val="ListParagraph"/>
        <w:numPr>
          <w:ilvl w:val="2"/>
          <w:numId w:val="13"/>
        </w:numPr>
        <w:spacing w:after="0" w:line="240" w:lineRule="auto"/>
        <w:jc w:val="both"/>
        <w:rPr>
          <w:rFonts w:ascii="Times New Roman" w:hAnsi="Times New Roman"/>
          <w:sz w:val="24"/>
          <w:szCs w:val="24"/>
        </w:rPr>
      </w:pPr>
      <w:r w:rsidRPr="000C33AA">
        <w:rPr>
          <w:rFonts w:ascii="Times New Roman" w:hAnsi="Times New Roman"/>
          <w:sz w:val="24"/>
          <w:szCs w:val="24"/>
        </w:rPr>
        <w:t>-</w:t>
      </w:r>
      <w:r w:rsidRPr="000C33AA">
        <w:rPr>
          <w:rFonts w:ascii="Times New Roman" w:hAnsi="Times New Roman"/>
          <w:sz w:val="24"/>
          <w:szCs w:val="24"/>
          <w:lang w:eastAsia="lv-LV"/>
        </w:rPr>
        <w:t xml:space="preserve">izdevumus pamatojošie dokumenti </w:t>
      </w:r>
      <w:r w:rsidRPr="000C33AA">
        <w:rPr>
          <w:rFonts w:ascii="Times New Roman" w:hAnsi="Times New Roman"/>
          <w:i/>
          <w:iCs/>
          <w:sz w:val="24"/>
          <w:szCs w:val="24"/>
          <w:lang w:eastAsia="lv-LV"/>
        </w:rPr>
        <w:t>(pieņemšanas – nodošanas akts, rēķins, u.tml.);</w:t>
      </w:r>
    </w:p>
    <w:p w14:paraId="25C2D4AA" w14:textId="77777777" w:rsidR="001D0637" w:rsidRPr="000C33AA" w:rsidRDefault="001D0637" w:rsidP="00204801">
      <w:pPr>
        <w:pStyle w:val="ListParagraph"/>
        <w:numPr>
          <w:ilvl w:val="2"/>
          <w:numId w:val="13"/>
        </w:numPr>
        <w:spacing w:after="0" w:line="240" w:lineRule="auto"/>
        <w:jc w:val="both"/>
        <w:rPr>
          <w:rFonts w:ascii="Times New Roman" w:hAnsi="Times New Roman"/>
          <w:sz w:val="24"/>
          <w:szCs w:val="24"/>
        </w:rPr>
      </w:pPr>
      <w:r w:rsidRPr="000C33AA">
        <w:rPr>
          <w:rFonts w:ascii="Times New Roman" w:hAnsi="Times New Roman"/>
          <w:sz w:val="24"/>
          <w:szCs w:val="24"/>
        </w:rPr>
        <w:t>-</w:t>
      </w:r>
      <w:r w:rsidRPr="000C33AA">
        <w:rPr>
          <w:rFonts w:ascii="Times New Roman" w:hAnsi="Times New Roman"/>
          <w:sz w:val="24"/>
          <w:szCs w:val="24"/>
          <w:lang w:eastAsia="lv-LV"/>
        </w:rPr>
        <w:t xml:space="preserve">bankas konta izraksts. </w:t>
      </w:r>
    </w:p>
    <w:p w14:paraId="3E6549E3" w14:textId="77777777" w:rsidR="001D0637" w:rsidRPr="000C33AA" w:rsidRDefault="001D0637" w:rsidP="00204801">
      <w:pPr>
        <w:pStyle w:val="ListParagraph"/>
        <w:spacing w:after="0" w:line="240" w:lineRule="auto"/>
        <w:jc w:val="both"/>
        <w:rPr>
          <w:rFonts w:ascii="Times New Roman" w:hAnsi="Times New Roman"/>
          <w:sz w:val="24"/>
          <w:szCs w:val="24"/>
          <w:lang w:eastAsia="lv-LV"/>
        </w:rPr>
      </w:pPr>
      <w:r w:rsidRPr="000C33AA">
        <w:rPr>
          <w:rFonts w:ascii="Times New Roman" w:hAnsi="Times New Roman"/>
          <w:sz w:val="24"/>
          <w:szCs w:val="24"/>
          <w:lang w:eastAsia="lv-LV"/>
        </w:rPr>
        <w:t>Visos ar projektu īstenošanu saistītajos dokumentos, t.sk. maksājuma uzdevumos, rēķinos, rīkojumos, līgumos, jānorāda projekta identifikācijas numuru.</w:t>
      </w:r>
    </w:p>
    <w:p w14:paraId="4ED051EC" w14:textId="77777777" w:rsidR="001D0637" w:rsidRPr="009C28B1" w:rsidRDefault="001D0637" w:rsidP="00204801">
      <w:pPr>
        <w:spacing w:after="0" w:line="240" w:lineRule="auto"/>
        <w:jc w:val="both"/>
        <w:rPr>
          <w:rFonts w:ascii="Times New Roman" w:hAnsi="Times New Roman" w:cs="Times New Roman"/>
          <w:sz w:val="24"/>
          <w:szCs w:val="24"/>
        </w:rPr>
      </w:pPr>
      <w:bookmarkStart w:id="0" w:name="_GoBack"/>
      <w:bookmarkEnd w:id="0"/>
    </w:p>
    <w:sectPr w:rsidR="001D0637" w:rsidRPr="009C28B1" w:rsidSect="003E55EE">
      <w:headerReference w:type="defaul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2DC7B" w14:textId="77777777" w:rsidR="003E55EE" w:rsidRDefault="003E55EE" w:rsidP="003E55EE">
      <w:pPr>
        <w:spacing w:after="0" w:line="240" w:lineRule="auto"/>
      </w:pPr>
      <w:r>
        <w:separator/>
      </w:r>
    </w:p>
  </w:endnote>
  <w:endnote w:type="continuationSeparator" w:id="0">
    <w:p w14:paraId="3B772113" w14:textId="77777777" w:rsidR="003E55EE" w:rsidRDefault="003E55EE" w:rsidP="003E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11142" w14:textId="77777777" w:rsidR="003E55EE" w:rsidRDefault="003E55EE" w:rsidP="003E55EE">
      <w:pPr>
        <w:spacing w:after="0" w:line="240" w:lineRule="auto"/>
      </w:pPr>
      <w:r>
        <w:separator/>
      </w:r>
    </w:p>
  </w:footnote>
  <w:footnote w:type="continuationSeparator" w:id="0">
    <w:p w14:paraId="54EFFEF9" w14:textId="77777777" w:rsidR="003E55EE" w:rsidRDefault="003E55EE" w:rsidP="003E55EE">
      <w:pPr>
        <w:spacing w:after="0" w:line="240" w:lineRule="auto"/>
      </w:pPr>
      <w:r>
        <w:continuationSeparator/>
      </w:r>
    </w:p>
  </w:footnote>
  <w:footnote w:id="1">
    <w:p w14:paraId="45A36CBF" w14:textId="77777777" w:rsidR="002E5A9D" w:rsidRDefault="002E5A9D" w:rsidP="002E5A9D">
      <w:pPr>
        <w:pStyle w:val="FootnoteText"/>
        <w:jc w:val="both"/>
      </w:pPr>
      <w:r>
        <w:rPr>
          <w:rStyle w:val="FootnoteReference"/>
        </w:rPr>
        <w:t>[1]</w:t>
      </w:r>
      <w:r>
        <w:t xml:space="preserve"> Eiropas Komisijas 2013.gada 18.decembra Regulas (ES) Nr.1407/2013 par Līguma par Eiropas Savienības darbību 107. un 108.panta piemērošanu </w:t>
      </w:r>
      <w:proofErr w:type="spellStart"/>
      <w:r>
        <w:rPr>
          <w:i/>
          <w:iCs/>
        </w:rPr>
        <w:t>de</w:t>
      </w:r>
      <w:proofErr w:type="spellEnd"/>
      <w:r>
        <w:rPr>
          <w:i/>
          <w:iCs/>
        </w:rPr>
        <w:t xml:space="preserve"> </w:t>
      </w:r>
      <w:proofErr w:type="spellStart"/>
      <w:r>
        <w:rPr>
          <w:i/>
          <w:iCs/>
        </w:rPr>
        <w:t>minimis</w:t>
      </w:r>
      <w:proofErr w:type="spellEnd"/>
      <w:r>
        <w:t xml:space="preserve"> atbalstam (Eiropas Savienības Oficiālais Vēstnesis, 2013.gada 24.decembris, Nr. L 352/1)</w:t>
      </w:r>
    </w:p>
  </w:footnote>
  <w:footnote w:id="2">
    <w:p w14:paraId="298FBAD9" w14:textId="77777777" w:rsidR="002E5A9D" w:rsidRDefault="002E5A9D" w:rsidP="002E5A9D">
      <w:pPr>
        <w:pStyle w:val="FootnoteText"/>
        <w:jc w:val="both"/>
      </w:pPr>
      <w:r>
        <w:rPr>
          <w:rStyle w:val="FootnoteReference"/>
        </w:rPr>
        <w:t>[2]</w:t>
      </w:r>
      <w:r>
        <w:t xml:space="preserve"> </w:t>
      </w:r>
      <w:r>
        <w:t>Eiropas Komisijas 2014.gada 17.jūnija Regulas (ES) Nr.651/2014, ar ko noteiktas atbalsta kategorijas atzīst par saderīgām ar iekšējo tirgu, piemērojot Līguma 107. un 108.pantu (Eiropas Savienības Oficiālais Vēstnesis, 2014.gada 26.jūnijs, Nr. L 187)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298660"/>
      <w:docPartObj>
        <w:docPartGallery w:val="Page Numbers (Top of Page)"/>
        <w:docPartUnique/>
      </w:docPartObj>
    </w:sdtPr>
    <w:sdtEndPr>
      <w:rPr>
        <w:noProof/>
      </w:rPr>
    </w:sdtEndPr>
    <w:sdtContent>
      <w:p w14:paraId="4840112E" w14:textId="14879B78" w:rsidR="003E55EE" w:rsidRDefault="003E55EE">
        <w:pPr>
          <w:pStyle w:val="Header"/>
          <w:jc w:val="center"/>
        </w:pPr>
        <w:r>
          <w:fldChar w:fldCharType="begin"/>
        </w:r>
        <w:r>
          <w:instrText xml:space="preserve"> PAGE   \* MERGEFORMAT </w:instrText>
        </w:r>
        <w:r>
          <w:fldChar w:fldCharType="separate"/>
        </w:r>
        <w:r w:rsidR="00204801">
          <w:rPr>
            <w:noProof/>
          </w:rPr>
          <w:t>3</w:t>
        </w:r>
        <w:r>
          <w:rPr>
            <w:noProof/>
          </w:rPr>
          <w:fldChar w:fldCharType="end"/>
        </w:r>
      </w:p>
    </w:sdtContent>
  </w:sdt>
  <w:p w14:paraId="0233EB4F" w14:textId="77777777" w:rsidR="003E55EE" w:rsidRDefault="003E55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16281"/>
    <w:multiLevelType w:val="hybridMultilevel"/>
    <w:tmpl w:val="F23CAC2A"/>
    <w:lvl w:ilvl="0" w:tplc="4D4A5E28">
      <w:start w:val="1"/>
      <w:numFmt w:val="decimal"/>
      <w:lvlText w:val="%1."/>
      <w:lvlJc w:val="left"/>
      <w:pPr>
        <w:ind w:left="720" w:hanging="360"/>
      </w:pPr>
      <w:rPr>
        <w:rFonts w:ascii="Calibri" w:hAnsi="Calibri" w:cs="Times New Roman" w:hint="default"/>
        <w:color w:val="000000"/>
        <w:sz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372B3099"/>
    <w:multiLevelType w:val="hybridMultilevel"/>
    <w:tmpl w:val="3B801B78"/>
    <w:lvl w:ilvl="0" w:tplc="021AE1B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nsid w:val="37A563CC"/>
    <w:multiLevelType w:val="hybridMultilevel"/>
    <w:tmpl w:val="B2748938"/>
    <w:lvl w:ilvl="0" w:tplc="04260001">
      <w:start w:val="1"/>
      <w:numFmt w:val="bullet"/>
      <w:lvlText w:val=""/>
      <w:lvlJc w:val="left"/>
      <w:pPr>
        <w:tabs>
          <w:tab w:val="num" w:pos="720"/>
        </w:tabs>
        <w:ind w:left="720" w:hanging="36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nsid w:val="40065943"/>
    <w:multiLevelType w:val="hybridMultilevel"/>
    <w:tmpl w:val="F23CAC2A"/>
    <w:lvl w:ilvl="0" w:tplc="4D4A5E28">
      <w:start w:val="1"/>
      <w:numFmt w:val="decimal"/>
      <w:lvlText w:val="%1."/>
      <w:lvlJc w:val="left"/>
      <w:pPr>
        <w:ind w:left="720" w:hanging="360"/>
      </w:pPr>
      <w:rPr>
        <w:rFonts w:ascii="Calibri" w:hAnsi="Calibri" w:cs="Times New Roman" w:hint="default"/>
        <w:color w:val="000000"/>
        <w:sz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506448B0"/>
    <w:multiLevelType w:val="hybridMultilevel"/>
    <w:tmpl w:val="91EA312E"/>
    <w:lvl w:ilvl="0" w:tplc="12906B1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5E9C525B"/>
    <w:multiLevelType w:val="hybridMultilevel"/>
    <w:tmpl w:val="DB2CB9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5F7F68FE"/>
    <w:multiLevelType w:val="hybridMultilevel"/>
    <w:tmpl w:val="647A36F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73C3627B"/>
    <w:multiLevelType w:val="hybridMultilevel"/>
    <w:tmpl w:val="B4F6DDCA"/>
    <w:lvl w:ilvl="0" w:tplc="3A843ADE">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74A52FFF"/>
    <w:multiLevelType w:val="hybridMultilevel"/>
    <w:tmpl w:val="8C40FF3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nsid w:val="76EC0B63"/>
    <w:multiLevelType w:val="hybridMultilevel"/>
    <w:tmpl w:val="845E94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7A8B064A"/>
    <w:multiLevelType w:val="hybridMultilevel"/>
    <w:tmpl w:val="C554DE1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11">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2"/>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0"/>
  </w:num>
  <w:num w:numId="11">
    <w:abstractNumId w:val="9"/>
  </w:num>
  <w:num w:numId="12">
    <w:abstractNumId w:val="7"/>
  </w:num>
  <w:num w:numId="13">
    <w:abstractNumId w:val="4"/>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977"/>
    <w:rsid w:val="00041E2E"/>
    <w:rsid w:val="000B2F34"/>
    <w:rsid w:val="000C33AA"/>
    <w:rsid w:val="001A7977"/>
    <w:rsid w:val="001D0637"/>
    <w:rsid w:val="00204801"/>
    <w:rsid w:val="002749CD"/>
    <w:rsid w:val="002C6620"/>
    <w:rsid w:val="002E5A9D"/>
    <w:rsid w:val="003346A7"/>
    <w:rsid w:val="003E1B3B"/>
    <w:rsid w:val="003E55EE"/>
    <w:rsid w:val="004B4F46"/>
    <w:rsid w:val="00620D46"/>
    <w:rsid w:val="006D1634"/>
    <w:rsid w:val="007D226F"/>
    <w:rsid w:val="007F7194"/>
    <w:rsid w:val="0086294A"/>
    <w:rsid w:val="008B23E8"/>
    <w:rsid w:val="009A3319"/>
    <w:rsid w:val="009C28B1"/>
    <w:rsid w:val="00A27EBA"/>
    <w:rsid w:val="00B317C0"/>
    <w:rsid w:val="00B43043"/>
    <w:rsid w:val="00C25CC4"/>
    <w:rsid w:val="00C66A88"/>
    <w:rsid w:val="00CF2FB0"/>
    <w:rsid w:val="00D0027D"/>
    <w:rsid w:val="00D8659C"/>
    <w:rsid w:val="00DE5210"/>
    <w:rsid w:val="00E25B16"/>
    <w:rsid w:val="00F86E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0EF9"/>
  <w15:chartTrackingRefBased/>
  <w15:docId w15:val="{97B631AE-612A-4A82-A9E1-23F07069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977"/>
    <w:pPr>
      <w:spacing w:after="200" w:line="276" w:lineRule="auto"/>
      <w:ind w:left="720"/>
      <w:contextualSpacing/>
    </w:pPr>
    <w:rPr>
      <w:rFonts w:ascii="Calibri" w:hAnsi="Calibri" w:cs="Times New Roman"/>
    </w:rPr>
  </w:style>
  <w:style w:type="character" w:styleId="CommentReference">
    <w:name w:val="annotation reference"/>
    <w:basedOn w:val="DefaultParagraphFont"/>
    <w:uiPriority w:val="99"/>
    <w:semiHidden/>
    <w:unhideWhenUsed/>
    <w:rsid w:val="00041E2E"/>
    <w:rPr>
      <w:sz w:val="16"/>
      <w:szCs w:val="16"/>
    </w:rPr>
  </w:style>
  <w:style w:type="paragraph" w:styleId="CommentText">
    <w:name w:val="annotation text"/>
    <w:basedOn w:val="Normal"/>
    <w:link w:val="CommentTextChar"/>
    <w:uiPriority w:val="99"/>
    <w:semiHidden/>
    <w:unhideWhenUsed/>
    <w:rsid w:val="00041E2E"/>
    <w:pPr>
      <w:spacing w:line="240" w:lineRule="auto"/>
    </w:pPr>
    <w:rPr>
      <w:sz w:val="20"/>
      <w:szCs w:val="20"/>
    </w:rPr>
  </w:style>
  <w:style w:type="character" w:customStyle="1" w:styleId="CommentTextChar">
    <w:name w:val="Comment Text Char"/>
    <w:basedOn w:val="DefaultParagraphFont"/>
    <w:link w:val="CommentText"/>
    <w:uiPriority w:val="99"/>
    <w:semiHidden/>
    <w:rsid w:val="00041E2E"/>
    <w:rPr>
      <w:sz w:val="20"/>
      <w:szCs w:val="20"/>
    </w:rPr>
  </w:style>
  <w:style w:type="paragraph" w:styleId="CommentSubject">
    <w:name w:val="annotation subject"/>
    <w:basedOn w:val="CommentText"/>
    <w:next w:val="CommentText"/>
    <w:link w:val="CommentSubjectChar"/>
    <w:uiPriority w:val="99"/>
    <w:semiHidden/>
    <w:unhideWhenUsed/>
    <w:rsid w:val="00041E2E"/>
    <w:rPr>
      <w:b/>
      <w:bCs/>
    </w:rPr>
  </w:style>
  <w:style w:type="character" w:customStyle="1" w:styleId="CommentSubjectChar">
    <w:name w:val="Comment Subject Char"/>
    <w:basedOn w:val="CommentTextChar"/>
    <w:link w:val="CommentSubject"/>
    <w:uiPriority w:val="99"/>
    <w:semiHidden/>
    <w:rsid w:val="00041E2E"/>
    <w:rPr>
      <w:b/>
      <w:bCs/>
      <w:sz w:val="20"/>
      <w:szCs w:val="20"/>
    </w:rPr>
  </w:style>
  <w:style w:type="paragraph" w:styleId="BalloonText">
    <w:name w:val="Balloon Text"/>
    <w:basedOn w:val="Normal"/>
    <w:link w:val="BalloonTextChar"/>
    <w:uiPriority w:val="99"/>
    <w:semiHidden/>
    <w:unhideWhenUsed/>
    <w:rsid w:val="00041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E2E"/>
    <w:rPr>
      <w:rFonts w:ascii="Segoe UI" w:hAnsi="Segoe UI" w:cs="Segoe UI"/>
      <w:sz w:val="18"/>
      <w:szCs w:val="18"/>
    </w:rPr>
  </w:style>
  <w:style w:type="character" w:styleId="Hyperlink">
    <w:name w:val="Hyperlink"/>
    <w:basedOn w:val="DefaultParagraphFont"/>
    <w:uiPriority w:val="99"/>
    <w:semiHidden/>
    <w:unhideWhenUsed/>
    <w:rsid w:val="00D8659C"/>
    <w:rPr>
      <w:color w:val="0563C1"/>
      <w:u w:val="single"/>
    </w:rPr>
  </w:style>
  <w:style w:type="paragraph" w:styleId="NormalWeb">
    <w:name w:val="Normal (Web)"/>
    <w:basedOn w:val="Normal"/>
    <w:uiPriority w:val="99"/>
    <w:semiHidden/>
    <w:unhideWhenUsed/>
    <w:rsid w:val="00DE5210"/>
    <w:pPr>
      <w:spacing w:before="100" w:beforeAutospacing="1" w:after="100" w:afterAutospacing="1" w:line="240" w:lineRule="auto"/>
    </w:pPr>
    <w:rPr>
      <w:rFonts w:ascii="Times New Roman" w:hAnsi="Times New Roman" w:cs="Times New Roman"/>
      <w:sz w:val="24"/>
      <w:szCs w:val="24"/>
      <w:lang w:eastAsia="lv-LV"/>
    </w:rPr>
  </w:style>
  <w:style w:type="paragraph" w:styleId="Header">
    <w:name w:val="header"/>
    <w:basedOn w:val="Normal"/>
    <w:link w:val="HeaderChar"/>
    <w:uiPriority w:val="99"/>
    <w:unhideWhenUsed/>
    <w:rsid w:val="003E55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E55EE"/>
  </w:style>
  <w:style w:type="paragraph" w:styleId="Footer">
    <w:name w:val="footer"/>
    <w:basedOn w:val="Normal"/>
    <w:link w:val="FooterChar"/>
    <w:uiPriority w:val="99"/>
    <w:unhideWhenUsed/>
    <w:rsid w:val="003E55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E55EE"/>
  </w:style>
  <w:style w:type="paragraph" w:styleId="FootnoteText">
    <w:name w:val="footnote text"/>
    <w:basedOn w:val="Normal"/>
    <w:link w:val="FootnoteTextChar"/>
    <w:uiPriority w:val="99"/>
    <w:semiHidden/>
    <w:unhideWhenUsed/>
    <w:rsid w:val="002E5A9D"/>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2E5A9D"/>
    <w:rPr>
      <w:rFonts w:ascii="Calibri" w:hAnsi="Calibri" w:cs="Times New Roman"/>
      <w:sz w:val="20"/>
      <w:szCs w:val="20"/>
    </w:rPr>
  </w:style>
  <w:style w:type="character" w:styleId="FootnoteReference">
    <w:name w:val="footnote reference"/>
    <w:basedOn w:val="DefaultParagraphFont"/>
    <w:uiPriority w:val="99"/>
    <w:semiHidden/>
    <w:unhideWhenUsed/>
    <w:rsid w:val="002E5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9593">
      <w:bodyDiv w:val="1"/>
      <w:marLeft w:val="0"/>
      <w:marRight w:val="0"/>
      <w:marTop w:val="0"/>
      <w:marBottom w:val="0"/>
      <w:divBdr>
        <w:top w:val="none" w:sz="0" w:space="0" w:color="auto"/>
        <w:left w:val="none" w:sz="0" w:space="0" w:color="auto"/>
        <w:bottom w:val="none" w:sz="0" w:space="0" w:color="auto"/>
        <w:right w:val="none" w:sz="0" w:space="0" w:color="auto"/>
      </w:divBdr>
    </w:div>
    <w:div w:id="569850866">
      <w:bodyDiv w:val="1"/>
      <w:marLeft w:val="0"/>
      <w:marRight w:val="0"/>
      <w:marTop w:val="0"/>
      <w:marBottom w:val="0"/>
      <w:divBdr>
        <w:top w:val="none" w:sz="0" w:space="0" w:color="auto"/>
        <w:left w:val="none" w:sz="0" w:space="0" w:color="auto"/>
        <w:bottom w:val="none" w:sz="0" w:space="0" w:color="auto"/>
        <w:right w:val="none" w:sz="0" w:space="0" w:color="auto"/>
      </w:divBdr>
    </w:div>
    <w:div w:id="740442638">
      <w:bodyDiv w:val="1"/>
      <w:marLeft w:val="0"/>
      <w:marRight w:val="0"/>
      <w:marTop w:val="0"/>
      <w:marBottom w:val="0"/>
      <w:divBdr>
        <w:top w:val="none" w:sz="0" w:space="0" w:color="auto"/>
        <w:left w:val="none" w:sz="0" w:space="0" w:color="auto"/>
        <w:bottom w:val="none" w:sz="0" w:space="0" w:color="auto"/>
        <w:right w:val="none" w:sz="0" w:space="0" w:color="auto"/>
      </w:divBdr>
    </w:div>
    <w:div w:id="941382597">
      <w:bodyDiv w:val="1"/>
      <w:marLeft w:val="0"/>
      <w:marRight w:val="0"/>
      <w:marTop w:val="0"/>
      <w:marBottom w:val="0"/>
      <w:divBdr>
        <w:top w:val="none" w:sz="0" w:space="0" w:color="auto"/>
        <w:left w:val="none" w:sz="0" w:space="0" w:color="auto"/>
        <w:bottom w:val="none" w:sz="0" w:space="0" w:color="auto"/>
        <w:right w:val="none" w:sz="0" w:space="0" w:color="auto"/>
      </w:divBdr>
    </w:div>
    <w:div w:id="982544962">
      <w:bodyDiv w:val="1"/>
      <w:marLeft w:val="0"/>
      <w:marRight w:val="0"/>
      <w:marTop w:val="0"/>
      <w:marBottom w:val="0"/>
      <w:divBdr>
        <w:top w:val="none" w:sz="0" w:space="0" w:color="auto"/>
        <w:left w:val="none" w:sz="0" w:space="0" w:color="auto"/>
        <w:bottom w:val="none" w:sz="0" w:space="0" w:color="auto"/>
        <w:right w:val="none" w:sz="0" w:space="0" w:color="auto"/>
      </w:divBdr>
    </w:div>
    <w:div w:id="1080251936">
      <w:bodyDiv w:val="1"/>
      <w:marLeft w:val="0"/>
      <w:marRight w:val="0"/>
      <w:marTop w:val="0"/>
      <w:marBottom w:val="0"/>
      <w:divBdr>
        <w:top w:val="none" w:sz="0" w:space="0" w:color="auto"/>
        <w:left w:val="none" w:sz="0" w:space="0" w:color="auto"/>
        <w:bottom w:val="none" w:sz="0" w:space="0" w:color="auto"/>
        <w:right w:val="none" w:sz="0" w:space="0" w:color="auto"/>
      </w:divBdr>
    </w:div>
    <w:div w:id="1206135051">
      <w:bodyDiv w:val="1"/>
      <w:marLeft w:val="0"/>
      <w:marRight w:val="0"/>
      <w:marTop w:val="0"/>
      <w:marBottom w:val="0"/>
      <w:divBdr>
        <w:top w:val="none" w:sz="0" w:space="0" w:color="auto"/>
        <w:left w:val="none" w:sz="0" w:space="0" w:color="auto"/>
        <w:bottom w:val="none" w:sz="0" w:space="0" w:color="auto"/>
        <w:right w:val="none" w:sz="0" w:space="0" w:color="auto"/>
      </w:divBdr>
    </w:div>
    <w:div w:id="1230843059">
      <w:bodyDiv w:val="1"/>
      <w:marLeft w:val="0"/>
      <w:marRight w:val="0"/>
      <w:marTop w:val="0"/>
      <w:marBottom w:val="0"/>
      <w:divBdr>
        <w:top w:val="none" w:sz="0" w:space="0" w:color="auto"/>
        <w:left w:val="none" w:sz="0" w:space="0" w:color="auto"/>
        <w:bottom w:val="none" w:sz="0" w:space="0" w:color="auto"/>
        <w:right w:val="none" w:sz="0" w:space="0" w:color="auto"/>
      </w:divBdr>
    </w:div>
    <w:div w:id="1251309779">
      <w:bodyDiv w:val="1"/>
      <w:marLeft w:val="0"/>
      <w:marRight w:val="0"/>
      <w:marTop w:val="0"/>
      <w:marBottom w:val="0"/>
      <w:divBdr>
        <w:top w:val="none" w:sz="0" w:space="0" w:color="auto"/>
        <w:left w:val="none" w:sz="0" w:space="0" w:color="auto"/>
        <w:bottom w:val="none" w:sz="0" w:space="0" w:color="auto"/>
        <w:right w:val="none" w:sz="0" w:space="0" w:color="auto"/>
      </w:divBdr>
    </w:div>
    <w:div w:id="1415467570">
      <w:bodyDiv w:val="1"/>
      <w:marLeft w:val="0"/>
      <w:marRight w:val="0"/>
      <w:marTop w:val="0"/>
      <w:marBottom w:val="0"/>
      <w:divBdr>
        <w:top w:val="none" w:sz="0" w:space="0" w:color="auto"/>
        <w:left w:val="none" w:sz="0" w:space="0" w:color="auto"/>
        <w:bottom w:val="none" w:sz="0" w:space="0" w:color="auto"/>
        <w:right w:val="none" w:sz="0" w:space="0" w:color="auto"/>
      </w:divBdr>
    </w:div>
    <w:div w:id="1590626146">
      <w:bodyDiv w:val="1"/>
      <w:marLeft w:val="0"/>
      <w:marRight w:val="0"/>
      <w:marTop w:val="0"/>
      <w:marBottom w:val="0"/>
      <w:divBdr>
        <w:top w:val="none" w:sz="0" w:space="0" w:color="auto"/>
        <w:left w:val="none" w:sz="0" w:space="0" w:color="auto"/>
        <w:bottom w:val="none" w:sz="0" w:space="0" w:color="auto"/>
        <w:right w:val="none" w:sz="0" w:space="0" w:color="auto"/>
      </w:divBdr>
    </w:div>
    <w:div w:id="1644771971">
      <w:bodyDiv w:val="1"/>
      <w:marLeft w:val="0"/>
      <w:marRight w:val="0"/>
      <w:marTop w:val="0"/>
      <w:marBottom w:val="0"/>
      <w:divBdr>
        <w:top w:val="none" w:sz="0" w:space="0" w:color="auto"/>
        <w:left w:val="none" w:sz="0" w:space="0" w:color="auto"/>
        <w:bottom w:val="none" w:sz="0" w:space="0" w:color="auto"/>
        <w:right w:val="none" w:sz="0" w:space="0" w:color="auto"/>
      </w:divBdr>
    </w:div>
    <w:div w:id="1893232140">
      <w:bodyDiv w:val="1"/>
      <w:marLeft w:val="0"/>
      <w:marRight w:val="0"/>
      <w:marTop w:val="0"/>
      <w:marBottom w:val="0"/>
      <w:divBdr>
        <w:top w:val="none" w:sz="0" w:space="0" w:color="auto"/>
        <w:left w:val="none" w:sz="0" w:space="0" w:color="auto"/>
        <w:bottom w:val="none" w:sz="0" w:space="0" w:color="auto"/>
        <w:right w:val="none" w:sz="0" w:space="0" w:color="auto"/>
      </w:divBdr>
    </w:div>
    <w:div w:id="1893953982">
      <w:bodyDiv w:val="1"/>
      <w:marLeft w:val="0"/>
      <w:marRight w:val="0"/>
      <w:marTop w:val="0"/>
      <w:marBottom w:val="0"/>
      <w:divBdr>
        <w:top w:val="none" w:sz="0" w:space="0" w:color="auto"/>
        <w:left w:val="none" w:sz="0" w:space="0" w:color="auto"/>
        <w:bottom w:val="none" w:sz="0" w:space="0" w:color="auto"/>
        <w:right w:val="none" w:sz="0" w:space="0" w:color="auto"/>
      </w:divBdr>
    </w:div>
    <w:div w:id="1944723745">
      <w:bodyDiv w:val="1"/>
      <w:marLeft w:val="0"/>
      <w:marRight w:val="0"/>
      <w:marTop w:val="0"/>
      <w:marBottom w:val="0"/>
      <w:divBdr>
        <w:top w:val="none" w:sz="0" w:space="0" w:color="auto"/>
        <w:left w:val="none" w:sz="0" w:space="0" w:color="auto"/>
        <w:bottom w:val="none" w:sz="0" w:space="0" w:color="auto"/>
        <w:right w:val="none" w:sz="0" w:space="0" w:color="auto"/>
      </w:divBdr>
    </w:div>
    <w:div w:id="1951088769">
      <w:bodyDiv w:val="1"/>
      <w:marLeft w:val="0"/>
      <w:marRight w:val="0"/>
      <w:marTop w:val="0"/>
      <w:marBottom w:val="0"/>
      <w:divBdr>
        <w:top w:val="none" w:sz="0" w:space="0" w:color="auto"/>
        <w:left w:val="none" w:sz="0" w:space="0" w:color="auto"/>
        <w:bottom w:val="none" w:sz="0" w:space="0" w:color="auto"/>
        <w:right w:val="none" w:sz="0" w:space="0" w:color="auto"/>
      </w:divBdr>
    </w:div>
    <w:div w:id="1954245019">
      <w:bodyDiv w:val="1"/>
      <w:marLeft w:val="0"/>
      <w:marRight w:val="0"/>
      <w:marTop w:val="0"/>
      <w:marBottom w:val="0"/>
      <w:divBdr>
        <w:top w:val="none" w:sz="0" w:space="0" w:color="auto"/>
        <w:left w:val="none" w:sz="0" w:space="0" w:color="auto"/>
        <w:bottom w:val="none" w:sz="0" w:space="0" w:color="auto"/>
        <w:right w:val="none" w:sz="0" w:space="0" w:color="auto"/>
      </w:divBdr>
    </w:div>
    <w:div w:id="208472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uri=CELEX:32014R065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legal-content/LV/TXT/?uri=CELEX:32014R065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LV/TXT/HTML/?uri=CELEX:32013R1407&amp;from=it" TargetMode="External"/><Relationship Id="rId5" Type="http://schemas.openxmlformats.org/officeDocument/2006/relationships/footnotes" Target="footnotes.xml"/><Relationship Id="rId10" Type="http://schemas.openxmlformats.org/officeDocument/2006/relationships/hyperlink" Target="http://eur-lex.europa.eu/legal-content/LV/TXT/?uri=CELEX:32014R0651" TargetMode="External"/><Relationship Id="rId4" Type="http://schemas.openxmlformats.org/officeDocument/2006/relationships/webSettings" Target="webSettings.xml"/><Relationship Id="rId9" Type="http://schemas.openxmlformats.org/officeDocument/2006/relationships/hyperlink" Target="http://eur-lex.europa.eu/LexUriServ/LexUriServ.do?uri=CONSLEG:1999R0659:20130820:LV: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14282</Words>
  <Characters>8141</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Dambe</dc:creator>
  <cp:keywords/>
  <dc:description/>
  <cp:lastModifiedBy>Madara Dambe</cp:lastModifiedBy>
  <cp:revision>7</cp:revision>
  <cp:lastPrinted>2016-02-10T11:43:00Z</cp:lastPrinted>
  <dcterms:created xsi:type="dcterms:W3CDTF">2016-02-10T12:01:00Z</dcterms:created>
  <dcterms:modified xsi:type="dcterms:W3CDTF">2016-02-15T11:10:00Z</dcterms:modified>
</cp:coreProperties>
</file>