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C7C" w:rsidRDefault="00BD5C7C" w:rsidP="00BD5C7C">
      <w:pPr>
        <w:spacing w:before="120"/>
        <w:contextualSpacing/>
        <w:jc w:val="both"/>
        <w:rPr>
          <w:color w:val="1F4E79"/>
          <w:sz w:val="22"/>
        </w:rPr>
      </w:pPr>
    </w:p>
    <w:p w:rsidR="00BD5C7C" w:rsidRPr="005D50BD" w:rsidRDefault="00BD5C7C" w:rsidP="00BD5C7C">
      <w:pPr>
        <w:pStyle w:val="ListParagraph"/>
        <w:numPr>
          <w:ilvl w:val="0"/>
          <w:numId w:val="3"/>
        </w:numPr>
        <w:spacing w:before="120"/>
        <w:contextualSpacing/>
        <w:jc w:val="both"/>
        <w:rPr>
          <w:rFonts w:ascii="Times New Roman" w:hAnsi="Times New Roman" w:cs="Times New Roman"/>
          <w:i/>
          <w:iCs/>
          <w:color w:val="1F4E79"/>
          <w:szCs w:val="24"/>
        </w:rPr>
      </w:pPr>
      <w:r w:rsidRPr="005D50BD">
        <w:rPr>
          <w:rFonts w:ascii="Times New Roman" w:hAnsi="Times New Roman" w:cs="Times New Roman"/>
          <w:szCs w:val="24"/>
        </w:rPr>
        <w:t xml:space="preserve">Jau saņēmām atbildi - ka savā budžetā paredzam arī licencēt </w:t>
      </w:r>
      <w:r w:rsidR="008074D8" w:rsidRPr="008074D8">
        <w:rPr>
          <w:rFonts w:ascii="Times New Roman" w:hAnsi="Times New Roman" w:cs="Times New Roman"/>
          <w:b/>
          <w:szCs w:val="24"/>
        </w:rPr>
        <w:t>AII</w:t>
      </w:r>
      <w:r w:rsidR="008074D8">
        <w:rPr>
          <w:rFonts w:ascii="Times New Roman" w:hAnsi="Times New Roman" w:cs="Times New Roman"/>
          <w:szCs w:val="24"/>
        </w:rPr>
        <w:t xml:space="preserve"> – Projekta iesniedzēja</w:t>
      </w:r>
      <w:r w:rsidR="00430B98">
        <w:rPr>
          <w:rFonts w:ascii="Times New Roman" w:hAnsi="Times New Roman" w:cs="Times New Roman"/>
          <w:szCs w:val="24"/>
        </w:rPr>
        <w:t xml:space="preserve"> X</w:t>
      </w:r>
      <w:r w:rsidR="008074D8">
        <w:rPr>
          <w:rFonts w:ascii="Times New Roman" w:hAnsi="Times New Roman" w:cs="Times New Roman"/>
          <w:szCs w:val="24"/>
        </w:rPr>
        <w:t xml:space="preserve"> (vadošā partnera)</w:t>
      </w:r>
      <w:r w:rsidRPr="005D50BD">
        <w:rPr>
          <w:rFonts w:ascii="Times New Roman" w:hAnsi="Times New Roman" w:cs="Times New Roman"/>
          <w:szCs w:val="24"/>
        </w:rPr>
        <w:t xml:space="preserve"> izstrādātās 5 programmas sadarbības partneriem. Kā vadošā AII izstrādājam divas maģistra un vienu doktorantūras programmu - ar to būtu skaidrs, bet vienu integrēto bakalaura un vienu 2.līmeņa programmu, kuru apakšprogrammas izstrādā kā vadošās AII citas augstskolas - vai šīs izmaksas pilnā apjomā jāsedz </w:t>
      </w:r>
      <w:r w:rsidR="008074D8" w:rsidRPr="008074D8">
        <w:rPr>
          <w:rFonts w:ascii="Times New Roman" w:hAnsi="Times New Roman" w:cs="Times New Roman"/>
          <w:b/>
          <w:szCs w:val="24"/>
        </w:rPr>
        <w:t>AII</w:t>
      </w:r>
      <w:r w:rsidR="008074D8">
        <w:rPr>
          <w:rFonts w:ascii="Times New Roman" w:hAnsi="Times New Roman" w:cs="Times New Roman"/>
          <w:szCs w:val="24"/>
        </w:rPr>
        <w:t xml:space="preserve"> – Projekta iesniedzējam</w:t>
      </w:r>
      <w:r w:rsidR="00430B98">
        <w:rPr>
          <w:rFonts w:ascii="Times New Roman" w:hAnsi="Times New Roman" w:cs="Times New Roman"/>
          <w:szCs w:val="24"/>
        </w:rPr>
        <w:t xml:space="preserve"> X</w:t>
      </w:r>
      <w:r w:rsidRPr="005D50BD">
        <w:rPr>
          <w:rFonts w:ascii="Times New Roman" w:hAnsi="Times New Roman" w:cs="Times New Roman"/>
          <w:szCs w:val="24"/>
        </w:rPr>
        <w:t>?</w:t>
      </w:r>
      <w:r w:rsidRPr="005D50BD">
        <w:rPr>
          <w:rFonts w:ascii="Times New Roman" w:hAnsi="Times New Roman" w:cs="Times New Roman"/>
          <w:color w:val="1F4E79"/>
          <w:szCs w:val="24"/>
        </w:rPr>
        <w:t xml:space="preserve"> </w:t>
      </w:r>
    </w:p>
    <w:p w:rsidR="00BD5C7C" w:rsidRDefault="00BD5C7C" w:rsidP="00BD5C7C">
      <w:pPr>
        <w:pStyle w:val="NormalWeb"/>
        <w:jc w:val="both"/>
        <w:rPr>
          <w:color w:val="1F4E79"/>
          <w:sz w:val="22"/>
        </w:rPr>
      </w:pPr>
      <w:r w:rsidRPr="007A7CD0">
        <w:rPr>
          <w:b/>
          <w:i/>
          <w:u w:val="single"/>
        </w:rPr>
        <w:t>Atbilde</w:t>
      </w:r>
    </w:p>
    <w:p w:rsidR="00BD5C7C" w:rsidRPr="00BD5C7C" w:rsidRDefault="00BD5C7C" w:rsidP="00BD5C7C">
      <w:pPr>
        <w:spacing w:before="120"/>
        <w:ind w:left="360"/>
        <w:contextualSpacing/>
        <w:jc w:val="both"/>
        <w:rPr>
          <w:i/>
          <w:iCs/>
          <w:color w:val="1F4E79"/>
          <w:sz w:val="22"/>
        </w:rPr>
      </w:pPr>
      <w:r w:rsidRPr="00BD5C7C">
        <w:rPr>
          <w:color w:val="1F4E79"/>
          <w:sz w:val="22"/>
        </w:rPr>
        <w:t xml:space="preserve">SAM ietvaros paredzētās darbības ir veicamas </w:t>
      </w:r>
      <w:r w:rsidRPr="00BD5C7C">
        <w:rPr>
          <w:b/>
          <w:bCs/>
          <w:color w:val="1F4E79"/>
          <w:sz w:val="22"/>
        </w:rPr>
        <w:t xml:space="preserve">sadarbībā ar tām augstskolām, kas ir noteiktas pedagogu izglītības attīstības plānā, tātad </w:t>
      </w:r>
      <w:r w:rsidRPr="00BD5C7C">
        <w:rPr>
          <w:b/>
          <w:bCs/>
          <w:color w:val="1F4E79"/>
          <w:sz w:val="22"/>
          <w:u w:val="single"/>
        </w:rPr>
        <w:t>projekta partneriem</w:t>
      </w:r>
      <w:r w:rsidRPr="00BD5C7C">
        <w:rPr>
          <w:b/>
          <w:bCs/>
          <w:color w:val="1F4E79"/>
          <w:sz w:val="22"/>
        </w:rPr>
        <w:t xml:space="preserve">. Visi galvenie ar projekta partneru iesaisti saistītie pamatjautājumi ir vispusīgi apskatīti </w:t>
      </w:r>
      <w:bookmarkStart w:id="0" w:name="_Toc505859404"/>
      <w:r w:rsidRPr="00BD5C7C">
        <w:rPr>
          <w:color w:val="1F4E79"/>
          <w:sz w:val="22"/>
        </w:rPr>
        <w:t>Projekta iesnieguma veidlapas aizpildīšanas metodikas  12.lpp., nodaļā “</w:t>
      </w:r>
      <w:r w:rsidRPr="00BD5C7C">
        <w:rPr>
          <w:b/>
          <w:bCs/>
          <w:color w:val="1F4E79"/>
          <w:sz w:val="22"/>
        </w:rPr>
        <w:t>1.9. Informācija par partneri (-</w:t>
      </w:r>
      <w:proofErr w:type="spellStart"/>
      <w:r w:rsidRPr="00BD5C7C">
        <w:rPr>
          <w:b/>
          <w:bCs/>
          <w:color w:val="1F4E79"/>
          <w:sz w:val="22"/>
        </w:rPr>
        <w:t>iem</w:t>
      </w:r>
      <w:proofErr w:type="spellEnd"/>
      <w:r w:rsidRPr="00BD5C7C">
        <w:rPr>
          <w:b/>
          <w:bCs/>
          <w:color w:val="1F4E79"/>
          <w:sz w:val="22"/>
        </w:rPr>
        <w:t>)</w:t>
      </w:r>
      <w:bookmarkEnd w:id="0"/>
      <w:r w:rsidRPr="00BD5C7C">
        <w:rPr>
          <w:b/>
          <w:bCs/>
          <w:color w:val="1F4E79"/>
          <w:sz w:val="22"/>
        </w:rPr>
        <w:t xml:space="preserve">”. </w:t>
      </w:r>
    </w:p>
    <w:p w:rsidR="00BD5C7C" w:rsidRDefault="00BD5C7C" w:rsidP="00BD5C7C">
      <w:pPr>
        <w:spacing w:before="120"/>
        <w:ind w:left="360"/>
        <w:contextualSpacing/>
        <w:jc w:val="both"/>
        <w:rPr>
          <w:i/>
          <w:iCs/>
          <w:color w:val="1F4E79"/>
          <w:sz w:val="22"/>
        </w:rPr>
      </w:pPr>
      <w:r>
        <w:rPr>
          <w:i/>
          <w:iCs/>
          <w:color w:val="1F4E79"/>
        </w:rPr>
        <w:t>Projekta partneri, ņemot vērā to reālo ieguldījumu, var būt iesaistīti projektā plānoto darbību īstenošanā atbilstoši MK noteikumu 19.punktam:</w:t>
      </w:r>
    </w:p>
    <w:p w:rsidR="00BD5C7C" w:rsidRPr="0050502D" w:rsidRDefault="00BD5C7C" w:rsidP="00BD5C7C">
      <w:pPr>
        <w:pStyle w:val="ListParagraph"/>
        <w:numPr>
          <w:ilvl w:val="1"/>
          <w:numId w:val="2"/>
        </w:numPr>
        <w:ind w:left="742" w:hanging="283"/>
        <w:contextualSpacing/>
        <w:jc w:val="both"/>
        <w:rPr>
          <w:rFonts w:ascii="Times New Roman" w:hAnsi="Times New Roman" w:cs="Times New Roman"/>
          <w:i/>
          <w:iCs/>
          <w:color w:val="1F4E79"/>
          <w:szCs w:val="24"/>
        </w:rPr>
      </w:pPr>
      <w:r w:rsidRPr="0050502D">
        <w:rPr>
          <w:rFonts w:ascii="Times New Roman" w:hAnsi="Times New Roman" w:cs="Times New Roman"/>
          <w:i/>
          <w:iCs/>
          <w:color w:val="1F4E79"/>
        </w:rPr>
        <w:t>jaunu pedagoģijas studiju programmu izstrāde un  licencēšana;</w:t>
      </w:r>
    </w:p>
    <w:p w:rsidR="00BD5C7C" w:rsidRPr="0050502D" w:rsidRDefault="00BD5C7C" w:rsidP="00BD5C7C">
      <w:pPr>
        <w:pStyle w:val="ListParagraph"/>
        <w:numPr>
          <w:ilvl w:val="1"/>
          <w:numId w:val="2"/>
        </w:numPr>
        <w:ind w:left="742" w:hanging="283"/>
        <w:contextualSpacing/>
        <w:jc w:val="both"/>
        <w:rPr>
          <w:rFonts w:ascii="Times New Roman" w:hAnsi="Times New Roman" w:cs="Times New Roman"/>
          <w:i/>
          <w:iCs/>
          <w:color w:val="1F4E79"/>
          <w:sz w:val="20"/>
          <w:szCs w:val="20"/>
        </w:rPr>
      </w:pPr>
      <w:r w:rsidRPr="0050502D">
        <w:rPr>
          <w:rFonts w:ascii="Times New Roman" w:hAnsi="Times New Roman" w:cs="Times New Roman"/>
          <w:i/>
          <w:iCs/>
          <w:color w:val="1F4E79"/>
        </w:rPr>
        <w:t xml:space="preserve">jauno pedagoģijas studiju programmu aprobācija, tai skaitā pieredzes apmaiņas pasākumi un </w:t>
      </w:r>
      <w:proofErr w:type="spellStart"/>
      <w:r w:rsidRPr="0050502D">
        <w:rPr>
          <w:rFonts w:ascii="Times New Roman" w:hAnsi="Times New Roman" w:cs="Times New Roman"/>
          <w:i/>
          <w:iCs/>
          <w:color w:val="1F4E79"/>
        </w:rPr>
        <w:t>mērķstipendijas</w:t>
      </w:r>
      <w:proofErr w:type="spellEnd"/>
      <w:r w:rsidRPr="0050502D">
        <w:rPr>
          <w:rFonts w:ascii="Times New Roman" w:hAnsi="Times New Roman" w:cs="Times New Roman"/>
          <w:i/>
          <w:iCs/>
          <w:color w:val="1F4E79"/>
        </w:rPr>
        <w:t xml:space="preserve"> studējošajiem otrā līmeņa profesionālās augstākās izglītības, maģistra vai doktora studiju programmās;</w:t>
      </w:r>
    </w:p>
    <w:p w:rsidR="00BD5C7C" w:rsidRPr="0050502D" w:rsidRDefault="00BD5C7C" w:rsidP="00BD5C7C">
      <w:pPr>
        <w:pStyle w:val="ListParagraph"/>
        <w:numPr>
          <w:ilvl w:val="1"/>
          <w:numId w:val="2"/>
        </w:numPr>
        <w:ind w:left="742" w:hanging="283"/>
        <w:contextualSpacing/>
        <w:jc w:val="both"/>
        <w:rPr>
          <w:rFonts w:ascii="Times New Roman" w:hAnsi="Times New Roman" w:cs="Times New Roman"/>
          <w:i/>
          <w:iCs/>
          <w:color w:val="1F4E79"/>
        </w:rPr>
      </w:pPr>
      <w:r w:rsidRPr="0050502D">
        <w:rPr>
          <w:rFonts w:ascii="Times New Roman" w:hAnsi="Times New Roman" w:cs="Times New Roman"/>
          <w:i/>
          <w:iCs/>
          <w:color w:val="1F4E79"/>
        </w:rPr>
        <w:t>studiju virziena „</w:t>
      </w:r>
      <w:r w:rsidRPr="0050502D">
        <w:rPr>
          <w:rFonts w:ascii="Times New Roman" w:hAnsi="Times New Roman" w:cs="Times New Roman"/>
          <w:i/>
          <w:iCs/>
          <w:color w:val="1F4E79"/>
          <w:spacing w:val="-2"/>
        </w:rPr>
        <w:t>Izglītība, pedagoģija un sports</w:t>
      </w:r>
      <w:r w:rsidRPr="0050502D">
        <w:rPr>
          <w:rFonts w:ascii="Times New Roman" w:hAnsi="Times New Roman" w:cs="Times New Roman"/>
          <w:i/>
          <w:iCs/>
          <w:color w:val="1F4E79"/>
        </w:rPr>
        <w:t xml:space="preserve">” </w:t>
      </w:r>
      <w:r w:rsidRPr="0050502D">
        <w:rPr>
          <w:rFonts w:ascii="Times New Roman" w:hAnsi="Times New Roman" w:cs="Times New Roman"/>
          <w:i/>
          <w:iCs/>
          <w:color w:val="1F4E79"/>
          <w:spacing w:val="-2"/>
        </w:rPr>
        <w:t xml:space="preserve">akreditācija EQAR </w:t>
      </w:r>
      <w:r w:rsidRPr="0050502D">
        <w:rPr>
          <w:rFonts w:ascii="Times New Roman" w:hAnsi="Times New Roman" w:cs="Times New Roman"/>
          <w:i/>
          <w:iCs/>
          <w:color w:val="1F4E79"/>
        </w:rPr>
        <w:t>aģentūrā;</w:t>
      </w:r>
    </w:p>
    <w:p w:rsidR="00BD5C7C" w:rsidRPr="0050502D" w:rsidRDefault="00BD5C7C" w:rsidP="00BD5C7C">
      <w:pPr>
        <w:pStyle w:val="ListParagraph"/>
        <w:numPr>
          <w:ilvl w:val="1"/>
          <w:numId w:val="2"/>
        </w:numPr>
        <w:ind w:left="742" w:hanging="283"/>
        <w:contextualSpacing/>
        <w:jc w:val="both"/>
        <w:rPr>
          <w:rFonts w:ascii="Times New Roman" w:hAnsi="Times New Roman" w:cs="Times New Roman"/>
          <w:i/>
          <w:iCs/>
          <w:color w:val="1F4E79"/>
        </w:rPr>
      </w:pPr>
      <w:r w:rsidRPr="0050502D">
        <w:rPr>
          <w:rFonts w:ascii="Times New Roman" w:hAnsi="Times New Roman" w:cs="Times New Roman"/>
          <w:i/>
          <w:iCs/>
          <w:color w:val="1F4E79"/>
        </w:rPr>
        <w:t>projekta ietvaros izstrādāto jauno pedagoģijas studiju programmu publicitāte.</w:t>
      </w:r>
      <w:bookmarkStart w:id="1" w:name="_GoBack"/>
      <w:bookmarkEnd w:id="1"/>
    </w:p>
    <w:p w:rsidR="00BD5C7C" w:rsidRDefault="00BD5C7C" w:rsidP="00BD5C7C">
      <w:pPr>
        <w:jc w:val="both"/>
        <w:rPr>
          <w:i/>
          <w:iCs/>
          <w:color w:val="1F4E79"/>
        </w:rPr>
      </w:pPr>
      <w:r w:rsidRPr="0050502D">
        <w:rPr>
          <w:rFonts w:cs="Times New Roman"/>
          <w:i/>
          <w:iCs/>
          <w:color w:val="1F4E79"/>
        </w:rPr>
        <w:t xml:space="preserve">Projekta vadošajam partnerim jeb projekta iesniedzējam un katram projekta partnerim, ņemot vērā tā plānoto reālo iesaisti noteiktu darbību īstenošanā, </w:t>
      </w:r>
      <w:r w:rsidRPr="0050502D">
        <w:rPr>
          <w:rFonts w:cs="Times New Roman"/>
          <w:i/>
          <w:iCs/>
          <w:color w:val="1F4E79"/>
          <w:u w:val="single"/>
        </w:rPr>
        <w:t>projekta mērķu sasniegšanai</w:t>
      </w:r>
      <w:r w:rsidRPr="0050502D">
        <w:rPr>
          <w:rFonts w:cs="Times New Roman"/>
          <w:i/>
          <w:iCs/>
          <w:color w:val="1F4E79"/>
        </w:rPr>
        <w:t>, tiek paredzēts</w:t>
      </w:r>
      <w:r>
        <w:rPr>
          <w:i/>
          <w:iCs/>
          <w:color w:val="1F4E79"/>
        </w:rPr>
        <w:t xml:space="preserve"> finansējums (budžets) </w:t>
      </w:r>
      <w:r>
        <w:rPr>
          <w:i/>
          <w:iCs/>
        </w:rPr>
        <w:t xml:space="preserve">(no </w:t>
      </w:r>
      <w:r>
        <w:t xml:space="preserve">SAM pirmajai kārtai pieejamā attiecināmā finansējuma, kas saskaņā ar MK noteikumu par projekta īstenošanu 17.4.punktu ir noteikts Latvijas Universitātei), </w:t>
      </w:r>
      <w:r>
        <w:rPr>
          <w:b/>
          <w:bCs/>
          <w:i/>
          <w:iCs/>
          <w:color w:val="1F4E79"/>
          <w:u w:val="single"/>
        </w:rPr>
        <w:t>proporcionāli katra partnera plānotajam ieguldījumam</w:t>
      </w:r>
      <w:r>
        <w:rPr>
          <w:i/>
          <w:iCs/>
          <w:color w:val="1F4E79"/>
        </w:rPr>
        <w:t>.</w:t>
      </w:r>
    </w:p>
    <w:p w:rsidR="00BD5C7C" w:rsidRDefault="00BD5C7C" w:rsidP="00BD5C7C">
      <w:pPr>
        <w:rPr>
          <w:rFonts w:ascii="Courier New" w:hAnsi="Courier New" w:cs="Courier New"/>
          <w:sz w:val="20"/>
          <w:szCs w:val="20"/>
        </w:rPr>
      </w:pPr>
    </w:p>
    <w:p w:rsidR="00BD5C7C" w:rsidRPr="005D50BD" w:rsidRDefault="00BD5C7C" w:rsidP="005D50BD">
      <w:pPr>
        <w:pStyle w:val="ListParagraph"/>
        <w:numPr>
          <w:ilvl w:val="0"/>
          <w:numId w:val="3"/>
        </w:numPr>
        <w:jc w:val="both"/>
        <w:rPr>
          <w:rFonts w:ascii="Times New Roman" w:hAnsi="Times New Roman" w:cs="Times New Roman"/>
          <w:szCs w:val="24"/>
        </w:rPr>
      </w:pPr>
      <w:r w:rsidRPr="005D50BD">
        <w:rPr>
          <w:rFonts w:ascii="Times New Roman" w:hAnsi="Times New Roman" w:cs="Times New Roman"/>
          <w:szCs w:val="24"/>
        </w:rPr>
        <w:t xml:space="preserve">Savukārt par programmu akreditāciju EQAR - vai šeit katra AII budžetā pati plāno finansējumu visām tām programmām, kuras vēlēsies akreditēt, piem., </w:t>
      </w:r>
      <w:r w:rsidR="008074D8" w:rsidRPr="008074D8">
        <w:rPr>
          <w:rFonts w:ascii="Times New Roman" w:hAnsi="Times New Roman" w:cs="Times New Roman"/>
          <w:b/>
          <w:szCs w:val="24"/>
        </w:rPr>
        <w:t>AII</w:t>
      </w:r>
      <w:r w:rsidR="008074D8">
        <w:rPr>
          <w:rFonts w:ascii="Times New Roman" w:hAnsi="Times New Roman" w:cs="Times New Roman"/>
          <w:szCs w:val="24"/>
        </w:rPr>
        <w:t xml:space="preserve"> – Projekta iesniedzējs</w:t>
      </w:r>
      <w:r w:rsidR="00430B98">
        <w:rPr>
          <w:rFonts w:ascii="Times New Roman" w:hAnsi="Times New Roman" w:cs="Times New Roman"/>
          <w:szCs w:val="24"/>
        </w:rPr>
        <w:t xml:space="preserve"> X</w:t>
      </w:r>
      <w:r w:rsidRPr="005D50BD">
        <w:rPr>
          <w:rFonts w:ascii="Times New Roman" w:hAnsi="Times New Roman" w:cs="Times New Roman"/>
          <w:szCs w:val="24"/>
        </w:rPr>
        <w:t xml:space="preserve"> bez savām 5 vēl klāt divas - rezultātā kopskaitā 7? Vai arī šeit akreditācija jāparedz līdzīgi kā licencēšana, vienīgi projekta pieteikuma aizpildīšanas metodikā par akreditāciju nav minēts šis fakts kā par licencēšanu.</w:t>
      </w:r>
    </w:p>
    <w:p w:rsidR="00BD5C7C" w:rsidRDefault="00BD5C7C" w:rsidP="00BD5C7C">
      <w:pPr>
        <w:pStyle w:val="NormalWeb"/>
        <w:jc w:val="both"/>
        <w:rPr>
          <w:color w:val="1F4E79"/>
          <w:sz w:val="22"/>
        </w:rPr>
      </w:pPr>
      <w:r w:rsidRPr="007A7CD0">
        <w:rPr>
          <w:b/>
          <w:i/>
          <w:u w:val="single"/>
        </w:rPr>
        <w:t>Atbilde</w:t>
      </w:r>
    </w:p>
    <w:p w:rsidR="00BD5C7C" w:rsidRPr="00BD5C7C" w:rsidRDefault="00BD5C7C" w:rsidP="00BD5C7C">
      <w:pPr>
        <w:rPr>
          <w:color w:val="1F4E79"/>
          <w:szCs w:val="24"/>
        </w:rPr>
      </w:pPr>
      <w:r w:rsidRPr="00BD5C7C">
        <w:rPr>
          <w:color w:val="1F4E79"/>
        </w:rPr>
        <w:t>Projekta ietvaros plāno akreditācijas izdevumus visām programmām, kuras projekta ietvaros plānots izstrādāt un akreditēt visiem konkrētajā projektā iesaistītajiem partneriem, kuriem šīs programmas akreditācija nepieciešama, lai sasniegtu plānotajam projektam izvirzīto mērķi.</w:t>
      </w:r>
    </w:p>
    <w:p w:rsidR="00BD5C7C" w:rsidRPr="00BD5C7C" w:rsidRDefault="00BD5C7C" w:rsidP="00BD5C7C">
      <w:pPr>
        <w:rPr>
          <w:rFonts w:ascii="Calibri" w:hAnsi="Calibri"/>
          <w:color w:val="1F4E79"/>
          <w:sz w:val="20"/>
          <w:szCs w:val="20"/>
        </w:rPr>
      </w:pPr>
      <w:r w:rsidRPr="00BD5C7C">
        <w:rPr>
          <w:i/>
          <w:iCs/>
          <w:color w:val="1F4E79"/>
        </w:rPr>
        <w:t>Projekta darbības īstenošanā “studiju virziena „</w:t>
      </w:r>
      <w:r w:rsidRPr="00BD5C7C">
        <w:rPr>
          <w:i/>
          <w:iCs/>
          <w:color w:val="1F4E79"/>
          <w:spacing w:val="-2"/>
        </w:rPr>
        <w:t>Izglītība, pedagoģija un sports</w:t>
      </w:r>
      <w:r w:rsidRPr="00BD5C7C">
        <w:rPr>
          <w:i/>
          <w:iCs/>
          <w:color w:val="1F4E79"/>
        </w:rPr>
        <w:t xml:space="preserve">” </w:t>
      </w:r>
      <w:r w:rsidRPr="00BD5C7C">
        <w:rPr>
          <w:i/>
          <w:iCs/>
          <w:color w:val="1F4E79"/>
          <w:spacing w:val="-2"/>
        </w:rPr>
        <w:t xml:space="preserve">akreditācija EQAR </w:t>
      </w:r>
      <w:r w:rsidRPr="00BD5C7C">
        <w:rPr>
          <w:i/>
          <w:iCs/>
          <w:color w:val="1F4E79"/>
        </w:rPr>
        <w:t>aģentūrā”, atbilstoši MK noteikumu 19.punktam, var tikt iesaistīti projekta partneri.</w:t>
      </w:r>
    </w:p>
    <w:p w:rsidR="00BD5C7C" w:rsidRPr="00BD5C7C" w:rsidRDefault="00BD5C7C" w:rsidP="00BD5C7C">
      <w:pPr>
        <w:rPr>
          <w:color w:val="1F4E79"/>
        </w:rPr>
      </w:pPr>
      <w:r w:rsidRPr="00BD5C7C">
        <w:rPr>
          <w:color w:val="1F4E79"/>
        </w:rPr>
        <w:t>Akreditācijas izmaksas tiek plānotas kopējā projekta budžetā, n</w:t>
      </w:r>
      <w:r>
        <w:rPr>
          <w:color w:val="1F4E79"/>
        </w:rPr>
        <w:t>av nepieciešams projekta iesnie</w:t>
      </w:r>
      <w:r w:rsidR="00CD09D8">
        <w:rPr>
          <w:color w:val="1F4E79"/>
        </w:rPr>
        <w:t>g</w:t>
      </w:r>
      <w:r w:rsidRPr="00BD5C7C">
        <w:rPr>
          <w:color w:val="1F4E79"/>
        </w:rPr>
        <w:t>umā šīs izmaksas dalīt pa partneriem.</w:t>
      </w:r>
    </w:p>
    <w:p w:rsidR="00BD5C7C" w:rsidRPr="00BD5C7C" w:rsidRDefault="00BD5C7C" w:rsidP="00BD5C7C">
      <w:pPr>
        <w:rPr>
          <w:color w:val="1F4E79"/>
        </w:rPr>
      </w:pPr>
      <w:r w:rsidRPr="00BD5C7C">
        <w:rPr>
          <w:color w:val="1F4E79"/>
        </w:rPr>
        <w:t xml:space="preserve">Finanšu līdzekļu vadība un projekta budžeta pārvaldība ir projekta iesniedzēja pienākums un atbildība, ciešā sadarbībā ar konkrētā projekta partneriem, sadarbības līgumā ar katru no partneriem paredz sadarbības un savstarpējo norēķinu kārtību. </w:t>
      </w:r>
    </w:p>
    <w:p w:rsidR="00BD5C7C" w:rsidRDefault="00BD5C7C" w:rsidP="007A7CD0">
      <w:pPr>
        <w:pStyle w:val="NormalWeb"/>
        <w:jc w:val="both"/>
      </w:pPr>
    </w:p>
    <w:p w:rsidR="00C23A36" w:rsidRPr="007A7CD0" w:rsidRDefault="00C23A36" w:rsidP="00BD5C7C">
      <w:pPr>
        <w:pStyle w:val="NormalWeb"/>
        <w:numPr>
          <w:ilvl w:val="0"/>
          <w:numId w:val="3"/>
        </w:numPr>
        <w:jc w:val="both"/>
      </w:pPr>
      <w:r w:rsidRPr="007A7CD0">
        <w:t>Saskaņā ar IZM informatīvo ziņojumu “Priekšlikumi konceptuāli jaunas kompetencēs balstītas izglītības prasībām atbilstošas skolotāju izglītības nodrošināšanai Latvijā” 3.attēlu "Studiju sadalījums pa studiju programmām", ir noteikts, cik stipendiju skaits gadā un kādās programmās ir atbalstāms katrai augstskolai:</w:t>
      </w:r>
    </w:p>
    <w:p w:rsidR="00C23A36" w:rsidRPr="007A7CD0" w:rsidRDefault="00C23A36" w:rsidP="00BD5C7C">
      <w:pPr>
        <w:pStyle w:val="NormalWeb"/>
        <w:ind w:left="709"/>
        <w:jc w:val="both"/>
      </w:pPr>
      <w:r w:rsidRPr="007A7CD0">
        <w:rPr>
          <w:rStyle w:val="Strong"/>
          <w:i/>
          <w:iCs/>
        </w:rPr>
        <w:t>Vai šo norādīto stipendiju skaitu katra attiecīgā AII plāno projekta iesniegumā sava budžeta ietvaros?</w:t>
      </w:r>
    </w:p>
    <w:p w:rsidR="00C23A36" w:rsidRPr="007A7CD0" w:rsidRDefault="00C23A36" w:rsidP="00BD5C7C">
      <w:pPr>
        <w:pStyle w:val="NormalWeb"/>
        <w:ind w:left="709"/>
        <w:jc w:val="both"/>
      </w:pPr>
      <w:r w:rsidRPr="007A7CD0">
        <w:t xml:space="preserve">Piemēram, </w:t>
      </w:r>
      <w:proofErr w:type="spellStart"/>
      <w:r w:rsidRPr="007A7CD0">
        <w:t>LiepU</w:t>
      </w:r>
      <w:proofErr w:type="spellEnd"/>
      <w:r w:rsidRPr="007A7CD0">
        <w:t xml:space="preserve"> nav vadošais partneris nevienai 2.līmeņa </w:t>
      </w:r>
      <w:proofErr w:type="spellStart"/>
      <w:r w:rsidRPr="007A7CD0">
        <w:t>prof.augst.izglītībai</w:t>
      </w:r>
      <w:proofErr w:type="spellEnd"/>
      <w:r w:rsidRPr="007A7CD0">
        <w:t>, bet viņu noteiktais stipendiju skaits gadā ir 15, vai tas viņiem jāieplāno savā budžetā? Tāpat ar kopīgo doktorantūras programmu - vadošā AII ir LU, taču to izstrādā visas AII kopā, tātad paredzētās 2 stipendijas katrai AII tiek plānotas katras AII budžetā?</w:t>
      </w:r>
    </w:p>
    <w:p w:rsidR="007A7CD0" w:rsidRPr="007A7CD0" w:rsidRDefault="007A7CD0" w:rsidP="007A7CD0">
      <w:pPr>
        <w:pStyle w:val="NormalWeb"/>
        <w:jc w:val="both"/>
        <w:rPr>
          <w:b/>
          <w:i/>
          <w:u w:val="single"/>
        </w:rPr>
      </w:pPr>
      <w:r w:rsidRPr="007A7CD0">
        <w:rPr>
          <w:b/>
          <w:i/>
          <w:u w:val="single"/>
        </w:rPr>
        <w:t>Atbilde</w:t>
      </w:r>
      <w:r w:rsidR="005D50BD">
        <w:rPr>
          <w:b/>
          <w:i/>
          <w:u w:val="single"/>
        </w:rPr>
        <w:t>*</w:t>
      </w:r>
    </w:p>
    <w:p w:rsidR="001078F3" w:rsidRPr="000D27DA" w:rsidRDefault="001078F3" w:rsidP="007A7CD0">
      <w:pPr>
        <w:pStyle w:val="NormalWeb"/>
        <w:jc w:val="both"/>
        <w:rPr>
          <w:color w:val="1F3864" w:themeColor="accent5" w:themeShade="80"/>
        </w:rPr>
      </w:pPr>
      <w:r w:rsidRPr="000D27DA">
        <w:rPr>
          <w:color w:val="1F3864" w:themeColor="accent5" w:themeShade="80"/>
        </w:rPr>
        <w:t xml:space="preserve">Jā, </w:t>
      </w:r>
      <w:proofErr w:type="spellStart"/>
      <w:r w:rsidRPr="000D27DA">
        <w:rPr>
          <w:color w:val="1F3864" w:themeColor="accent5" w:themeShade="80"/>
        </w:rPr>
        <w:t>mērķstipendijas</w:t>
      </w:r>
      <w:proofErr w:type="spellEnd"/>
      <w:r w:rsidRPr="000D27DA">
        <w:rPr>
          <w:color w:val="1F3864" w:themeColor="accent5" w:themeShade="80"/>
        </w:rPr>
        <w:t xml:space="preserve"> plāno katra AII savā budžetā atbilstoši informatīvā ziņojuma 3.attēlā norādītajam. Tātad, LU – kopā 27 stipendijas (15 + 10 + 2), DU 17 stipendijas (</w:t>
      </w:r>
      <w:r w:rsidR="00110D96" w:rsidRPr="000D27DA">
        <w:rPr>
          <w:color w:val="1F3864" w:themeColor="accent5" w:themeShade="80"/>
        </w:rPr>
        <w:t>15 + 2)</w:t>
      </w:r>
      <w:r w:rsidRPr="000D27DA">
        <w:rPr>
          <w:color w:val="1F3864" w:themeColor="accent5" w:themeShade="80"/>
        </w:rPr>
        <w:t xml:space="preserve">, </w:t>
      </w:r>
      <w:proofErr w:type="spellStart"/>
      <w:r w:rsidRPr="000D27DA">
        <w:rPr>
          <w:color w:val="1F3864" w:themeColor="accent5" w:themeShade="80"/>
        </w:rPr>
        <w:t>LiepU</w:t>
      </w:r>
      <w:proofErr w:type="spellEnd"/>
      <w:r w:rsidRPr="000D27DA">
        <w:rPr>
          <w:color w:val="1F3864" w:themeColor="accent5" w:themeShade="80"/>
        </w:rPr>
        <w:t xml:space="preserve"> 17 stipendijas </w:t>
      </w:r>
      <w:r w:rsidR="00110D96" w:rsidRPr="000D27DA">
        <w:rPr>
          <w:color w:val="1F3864" w:themeColor="accent5" w:themeShade="80"/>
        </w:rPr>
        <w:t xml:space="preserve">(15 + 2) </w:t>
      </w:r>
      <w:r w:rsidRPr="000D27DA">
        <w:rPr>
          <w:color w:val="1F3864" w:themeColor="accent5" w:themeShade="80"/>
        </w:rPr>
        <w:t>un RTA 2 stipendijas.</w:t>
      </w:r>
    </w:p>
    <w:p w:rsidR="00847F72" w:rsidRPr="000D27DA" w:rsidRDefault="00847F72" w:rsidP="007A7CD0">
      <w:pPr>
        <w:pStyle w:val="NormalWeb"/>
        <w:jc w:val="both"/>
        <w:rPr>
          <w:color w:val="1F3864" w:themeColor="accent5" w:themeShade="80"/>
        </w:rPr>
      </w:pPr>
      <w:proofErr w:type="spellStart"/>
      <w:r w:rsidRPr="000D27DA">
        <w:rPr>
          <w:color w:val="1F3864" w:themeColor="accent5" w:themeShade="80"/>
        </w:rPr>
        <w:t>LiepU</w:t>
      </w:r>
      <w:proofErr w:type="spellEnd"/>
      <w:r w:rsidRPr="000D27DA">
        <w:rPr>
          <w:color w:val="1F3864" w:themeColor="accent5" w:themeShade="80"/>
        </w:rPr>
        <w:t xml:space="preserve">, kā arī RTA un DU projekta iesniegumā ir jāsniedz skaidrojums, ka </w:t>
      </w:r>
      <w:proofErr w:type="spellStart"/>
      <w:r w:rsidRPr="000D27DA">
        <w:rPr>
          <w:color w:val="1F3864" w:themeColor="accent5" w:themeShade="80"/>
        </w:rPr>
        <w:t>mērķstipendijas</w:t>
      </w:r>
      <w:proofErr w:type="spellEnd"/>
      <w:r w:rsidRPr="000D27DA">
        <w:rPr>
          <w:color w:val="1F3864" w:themeColor="accent5" w:themeShade="80"/>
        </w:rPr>
        <w:t xml:space="preserve"> tiks maksātas šo augstskolu studējošajiem, kas tiks iesaistīti to studiju programmu aprobācijā, kuru izstrāde tiks nodrošināta citas augstskolas projekta ietvaros</w:t>
      </w:r>
      <w:r w:rsidR="00B02A99" w:rsidRPr="000D27DA">
        <w:rPr>
          <w:color w:val="1F3864" w:themeColor="accent5" w:themeShade="80"/>
        </w:rPr>
        <w:t xml:space="preserve">, kurā </w:t>
      </w:r>
      <w:proofErr w:type="spellStart"/>
      <w:r w:rsidR="00B02A99" w:rsidRPr="000D27DA">
        <w:rPr>
          <w:color w:val="1F3864" w:themeColor="accent5" w:themeShade="80"/>
        </w:rPr>
        <w:t>LiepU</w:t>
      </w:r>
      <w:proofErr w:type="spellEnd"/>
      <w:r w:rsidR="00B02A99" w:rsidRPr="000D27DA">
        <w:rPr>
          <w:color w:val="1F3864" w:themeColor="accent5" w:themeShade="80"/>
        </w:rPr>
        <w:t>, RTA un DU ir sadarbības partneris</w:t>
      </w:r>
      <w:r w:rsidRPr="000D27DA">
        <w:rPr>
          <w:color w:val="1F3864" w:themeColor="accent5" w:themeShade="80"/>
        </w:rPr>
        <w:t xml:space="preserve">.   </w:t>
      </w:r>
    </w:p>
    <w:p w:rsidR="00C23A36" w:rsidRPr="007A7CD0" w:rsidRDefault="00C23A36" w:rsidP="00BD5C7C">
      <w:pPr>
        <w:pStyle w:val="NormalWeb"/>
        <w:numPr>
          <w:ilvl w:val="0"/>
          <w:numId w:val="3"/>
        </w:numPr>
        <w:jc w:val="both"/>
      </w:pPr>
      <w:r w:rsidRPr="007A7CD0">
        <w:t xml:space="preserve">Saskaņā ar informatīvo ziņojumu “Priekšlikumi konceptuāli jaunas kompetencēs balstītas izglītības prasībām atbilstošas skolotāju izglītības nodrošināšanai Latvijā” 3.attēla sasaisti ar 6.lpp. norādītu par katras programmas </w:t>
      </w:r>
      <w:proofErr w:type="spellStart"/>
      <w:r w:rsidRPr="007A7CD0">
        <w:t>mērķstipendijas</w:t>
      </w:r>
      <w:proofErr w:type="spellEnd"/>
      <w:r w:rsidRPr="007A7CD0">
        <w:t xml:space="preserve"> nodrošināšanu struktūrfondu ietvaros.</w:t>
      </w:r>
    </w:p>
    <w:p w:rsidR="00C23A36" w:rsidRPr="007A7CD0" w:rsidRDefault="00C23A36" w:rsidP="00BD5C7C">
      <w:pPr>
        <w:pStyle w:val="NormalWeb"/>
        <w:ind w:left="709"/>
        <w:jc w:val="both"/>
      </w:pPr>
      <w:r w:rsidRPr="007A7CD0">
        <w:t xml:space="preserve">Ziņojuma 3.attēlā ir norādīts stipendiju skaits gadā un gan 2.līmeņa </w:t>
      </w:r>
      <w:proofErr w:type="spellStart"/>
      <w:r w:rsidRPr="007A7CD0">
        <w:t>prof.augst.izgl.studiju</w:t>
      </w:r>
      <w:proofErr w:type="spellEnd"/>
      <w:r w:rsidRPr="007A7CD0">
        <w:t xml:space="preserve"> programmai, gan maģistra programmai ir norādīts - uz vienu gadu divas uzņemšanas, tātad izprotam, ka stipendijas maksājam norādītajam cilvēku skaitam vienu gadu. Taču doktora studijām - uz diviem gadiem vienai uzņemšanai - tātad maksājam 2 stipendijas divus gadus, atbilstoši MK noteikumos noteikto summu 20.1.2.2. punktā mēnešos reizinot ar gada mēnešu skaitu un reizinot ar 2 gadiem.</w:t>
      </w:r>
    </w:p>
    <w:p w:rsidR="007A7CD0" w:rsidRPr="007A7CD0" w:rsidRDefault="007A7CD0" w:rsidP="007A7CD0">
      <w:pPr>
        <w:pStyle w:val="NormalWeb"/>
        <w:jc w:val="both"/>
        <w:rPr>
          <w:b/>
          <w:i/>
          <w:u w:val="single"/>
        </w:rPr>
      </w:pPr>
      <w:r w:rsidRPr="007A7CD0">
        <w:rPr>
          <w:b/>
          <w:i/>
          <w:u w:val="single"/>
        </w:rPr>
        <w:t>Atbilde</w:t>
      </w:r>
      <w:r w:rsidR="005D50BD">
        <w:rPr>
          <w:b/>
          <w:i/>
          <w:u w:val="single"/>
        </w:rPr>
        <w:t>*</w:t>
      </w:r>
    </w:p>
    <w:p w:rsidR="001078F3" w:rsidRPr="000D27DA" w:rsidRDefault="00C049D1" w:rsidP="007A7CD0">
      <w:pPr>
        <w:pStyle w:val="NormalWeb"/>
        <w:jc w:val="both"/>
        <w:rPr>
          <w:color w:val="1F3864" w:themeColor="accent5" w:themeShade="80"/>
        </w:rPr>
      </w:pPr>
      <w:r w:rsidRPr="000D27DA">
        <w:rPr>
          <w:color w:val="1F3864" w:themeColor="accent5" w:themeShade="80"/>
        </w:rPr>
        <w:t xml:space="preserve">Attiecībā uz </w:t>
      </w:r>
      <w:r w:rsidR="001B49BE" w:rsidRPr="000D27DA">
        <w:rPr>
          <w:color w:val="1F3864" w:themeColor="accent5" w:themeShade="80"/>
        </w:rPr>
        <w:t>2.līmeņa prof</w:t>
      </w:r>
      <w:r w:rsidR="00EB7C9D" w:rsidRPr="000D27DA">
        <w:rPr>
          <w:color w:val="1F3864" w:themeColor="accent5" w:themeShade="80"/>
        </w:rPr>
        <w:t xml:space="preserve">esionālās </w:t>
      </w:r>
      <w:r w:rsidR="001B49BE" w:rsidRPr="000D27DA">
        <w:rPr>
          <w:color w:val="1F3864" w:themeColor="accent5" w:themeShade="80"/>
        </w:rPr>
        <w:t>augst</w:t>
      </w:r>
      <w:r w:rsidR="00EB7C9D" w:rsidRPr="000D27DA">
        <w:rPr>
          <w:color w:val="1F3864" w:themeColor="accent5" w:themeShade="80"/>
        </w:rPr>
        <w:t xml:space="preserve">ākās </w:t>
      </w:r>
      <w:r w:rsidR="001B49BE" w:rsidRPr="000D27DA">
        <w:rPr>
          <w:color w:val="1F3864" w:themeColor="accent5" w:themeShade="80"/>
        </w:rPr>
        <w:t>izgl</w:t>
      </w:r>
      <w:r w:rsidR="00EB7C9D" w:rsidRPr="000D27DA">
        <w:rPr>
          <w:color w:val="1F3864" w:themeColor="accent5" w:themeShade="80"/>
        </w:rPr>
        <w:t xml:space="preserve">ītības </w:t>
      </w:r>
      <w:r w:rsidR="001B49BE" w:rsidRPr="000D27DA">
        <w:rPr>
          <w:color w:val="1F3864" w:themeColor="accent5" w:themeShade="80"/>
        </w:rPr>
        <w:t>studiju programm</w:t>
      </w:r>
      <w:r w:rsidRPr="000D27DA">
        <w:rPr>
          <w:color w:val="1F3864" w:themeColor="accent5" w:themeShade="80"/>
        </w:rPr>
        <w:t>u un</w:t>
      </w:r>
      <w:r w:rsidR="001B49BE" w:rsidRPr="000D27DA">
        <w:rPr>
          <w:color w:val="1F3864" w:themeColor="accent5" w:themeShade="80"/>
        </w:rPr>
        <w:t xml:space="preserve"> maģistra programm</w:t>
      </w:r>
      <w:r w:rsidR="00CA704C" w:rsidRPr="000D27DA">
        <w:rPr>
          <w:color w:val="1F3864" w:themeColor="accent5" w:themeShade="80"/>
        </w:rPr>
        <w:t>u</w:t>
      </w:r>
      <w:r w:rsidRPr="000D27DA">
        <w:rPr>
          <w:color w:val="1F3864" w:themeColor="accent5" w:themeShade="80"/>
        </w:rPr>
        <w:t xml:space="preserve"> informatīvajā ziņojumā</w:t>
      </w:r>
      <w:r w:rsidR="001B49BE" w:rsidRPr="000D27DA">
        <w:rPr>
          <w:color w:val="1F3864" w:themeColor="accent5" w:themeShade="80"/>
        </w:rPr>
        <w:t xml:space="preserve"> </w:t>
      </w:r>
      <w:r w:rsidRPr="000D27DA">
        <w:rPr>
          <w:color w:val="1F3864" w:themeColor="accent5" w:themeShade="80"/>
        </w:rPr>
        <w:t xml:space="preserve">norādītais </w:t>
      </w:r>
      <w:r w:rsidR="001B49BE" w:rsidRPr="000D27DA">
        <w:rPr>
          <w:color w:val="1F3864" w:themeColor="accent5" w:themeShade="80"/>
        </w:rPr>
        <w:t xml:space="preserve">- </w:t>
      </w:r>
      <w:r w:rsidR="001B49BE" w:rsidRPr="000D27DA">
        <w:rPr>
          <w:i/>
          <w:color w:val="1F3864" w:themeColor="accent5" w:themeShade="80"/>
        </w:rPr>
        <w:t>uz vienu gadu divas uzņemšanas</w:t>
      </w:r>
      <w:r w:rsidR="001B49BE" w:rsidRPr="000D27DA">
        <w:rPr>
          <w:color w:val="1F3864" w:themeColor="accent5" w:themeShade="80"/>
        </w:rPr>
        <w:t xml:space="preserve"> nozīmē</w:t>
      </w:r>
      <w:r w:rsidR="00CA704C" w:rsidRPr="000D27DA">
        <w:rPr>
          <w:color w:val="1F3864" w:themeColor="accent5" w:themeShade="80"/>
        </w:rPr>
        <w:t xml:space="preserve"> to</w:t>
      </w:r>
      <w:r w:rsidR="001B49BE" w:rsidRPr="000D27DA">
        <w:rPr>
          <w:color w:val="1F3864" w:themeColor="accent5" w:themeShade="80"/>
        </w:rPr>
        <w:t xml:space="preserve">, ka </w:t>
      </w:r>
      <w:r w:rsidR="00C2104E" w:rsidRPr="000D27DA">
        <w:rPr>
          <w:color w:val="1F3864" w:themeColor="accent5" w:themeShade="80"/>
        </w:rPr>
        <w:t xml:space="preserve">šajās programmās katru gadu plānota viena uzņemšana un </w:t>
      </w:r>
      <w:r w:rsidR="00C2104E" w:rsidRPr="000D27DA">
        <w:rPr>
          <w:b/>
          <w:color w:val="1F3864" w:themeColor="accent5" w:themeShade="80"/>
        </w:rPr>
        <w:t>katras uzņemšanas gadā</w:t>
      </w:r>
      <w:r w:rsidR="00C2104E" w:rsidRPr="000D27DA">
        <w:rPr>
          <w:color w:val="1F3864" w:themeColor="accent5" w:themeShade="80"/>
        </w:rPr>
        <w:t xml:space="preserve"> paredzēts maksāt stipendijas 15 studentiem. Stipendijas maksāšanas ilgums vienam konkrētajam (unikālajam) studentam ir 1 gads. </w:t>
      </w:r>
      <w:r w:rsidR="00127ACC" w:rsidRPr="000D27DA">
        <w:rPr>
          <w:color w:val="1F3864" w:themeColor="accent5" w:themeShade="80"/>
        </w:rPr>
        <w:t xml:space="preserve">Tas ir tāpēc, ka 2.līmeņa </w:t>
      </w:r>
      <w:r w:rsidR="00EB7C9D" w:rsidRPr="000D27DA">
        <w:rPr>
          <w:color w:val="1F3864" w:themeColor="accent5" w:themeShade="80"/>
        </w:rPr>
        <w:t xml:space="preserve">profesionālās augstākās izglītības studiju </w:t>
      </w:r>
      <w:r w:rsidR="00127ACC" w:rsidRPr="000D27DA">
        <w:rPr>
          <w:color w:val="1F3864" w:themeColor="accent5" w:themeShade="80"/>
        </w:rPr>
        <w:t>programma tiek īstenota vienu gadu</w:t>
      </w:r>
      <w:r w:rsidR="001C19D2" w:rsidRPr="000D27DA">
        <w:rPr>
          <w:color w:val="1F3864" w:themeColor="accent5" w:themeShade="80"/>
        </w:rPr>
        <w:t xml:space="preserve"> un arī maģistra studiju programmu var īstenot vienu gadu</w:t>
      </w:r>
      <w:r w:rsidR="00127ACC" w:rsidRPr="000D27DA">
        <w:rPr>
          <w:color w:val="1F3864" w:themeColor="accent5" w:themeShade="80"/>
        </w:rPr>
        <w:t>.</w:t>
      </w:r>
    </w:p>
    <w:p w:rsidR="00127ACC" w:rsidRPr="000D27DA" w:rsidRDefault="00127ACC" w:rsidP="007A7CD0">
      <w:pPr>
        <w:pStyle w:val="NormalWeb"/>
        <w:jc w:val="both"/>
        <w:rPr>
          <w:color w:val="1F3864" w:themeColor="accent5" w:themeShade="80"/>
        </w:rPr>
      </w:pPr>
      <w:r w:rsidRPr="000D27DA">
        <w:rPr>
          <w:color w:val="1F3864" w:themeColor="accent5" w:themeShade="80"/>
        </w:rPr>
        <w:t>Attiecībā uz doktora stipendijām – jā, maksā 2 stipendijas divus gadus.</w:t>
      </w:r>
    </w:p>
    <w:p w:rsidR="001B49BE" w:rsidRPr="000D27DA" w:rsidRDefault="00C049D1" w:rsidP="007A7CD0">
      <w:pPr>
        <w:pStyle w:val="NormalWeb"/>
        <w:jc w:val="both"/>
        <w:rPr>
          <w:color w:val="1F3864" w:themeColor="accent5" w:themeShade="80"/>
        </w:rPr>
      </w:pPr>
      <w:r w:rsidRPr="000D27DA">
        <w:rPr>
          <w:color w:val="1F3864" w:themeColor="accent5" w:themeShade="80"/>
        </w:rPr>
        <w:t xml:space="preserve">Pēc būtības visās studiju programmās stipendijas var maksāt </w:t>
      </w:r>
      <w:r w:rsidR="00C2104E" w:rsidRPr="000D27DA">
        <w:rPr>
          <w:color w:val="1F3864" w:themeColor="accent5" w:themeShade="80"/>
        </w:rPr>
        <w:t xml:space="preserve">maksimāli </w:t>
      </w:r>
      <w:r w:rsidRPr="000D27DA">
        <w:rPr>
          <w:color w:val="1F3864" w:themeColor="accent5" w:themeShade="80"/>
        </w:rPr>
        <w:t>2 gadus, a</w:t>
      </w:r>
      <w:r w:rsidR="001B49BE" w:rsidRPr="000D27DA">
        <w:rPr>
          <w:color w:val="1F3864" w:themeColor="accent5" w:themeShade="80"/>
        </w:rPr>
        <w:t xml:space="preserve">tšķirība ir tāda, ka doktora stipendijas var maksāt vienam un tam pašam </w:t>
      </w:r>
      <w:r w:rsidR="00C2104E" w:rsidRPr="000D27DA">
        <w:rPr>
          <w:color w:val="1F3864" w:themeColor="accent5" w:themeShade="80"/>
        </w:rPr>
        <w:t>studentam</w:t>
      </w:r>
      <w:r w:rsidR="001B49BE" w:rsidRPr="000D27DA">
        <w:rPr>
          <w:color w:val="1F3864" w:themeColor="accent5" w:themeShade="80"/>
        </w:rPr>
        <w:t xml:space="preserve"> 2 gadus, bet 2.līmeņa </w:t>
      </w:r>
      <w:r w:rsidR="00EB7C9D" w:rsidRPr="000D27DA">
        <w:rPr>
          <w:color w:val="1F3864" w:themeColor="accent5" w:themeShade="80"/>
        </w:rPr>
        <w:t xml:space="preserve">profesionālās augstākās izglītības </w:t>
      </w:r>
      <w:r w:rsidR="001B49BE" w:rsidRPr="000D27DA">
        <w:rPr>
          <w:color w:val="1F3864" w:themeColor="accent5" w:themeShade="80"/>
        </w:rPr>
        <w:t xml:space="preserve">studiju programmas un maģistra programmas </w:t>
      </w:r>
      <w:r w:rsidR="00127ACC" w:rsidRPr="000D27DA">
        <w:rPr>
          <w:color w:val="1F3864" w:themeColor="accent5" w:themeShade="80"/>
        </w:rPr>
        <w:t xml:space="preserve">konkrētajam </w:t>
      </w:r>
      <w:r w:rsidR="001B49BE" w:rsidRPr="000D27DA">
        <w:rPr>
          <w:color w:val="1F3864" w:themeColor="accent5" w:themeShade="80"/>
        </w:rPr>
        <w:t>student</w:t>
      </w:r>
      <w:r w:rsidR="00127ACC" w:rsidRPr="000D27DA">
        <w:rPr>
          <w:color w:val="1F3864" w:themeColor="accent5" w:themeShade="80"/>
        </w:rPr>
        <w:t xml:space="preserve">am </w:t>
      </w:r>
      <w:r w:rsidR="00C2104E" w:rsidRPr="000D27DA">
        <w:rPr>
          <w:color w:val="1F3864" w:themeColor="accent5" w:themeShade="80"/>
        </w:rPr>
        <w:t xml:space="preserve">stipendiju </w:t>
      </w:r>
      <w:r w:rsidR="00127ACC" w:rsidRPr="000D27DA">
        <w:rPr>
          <w:color w:val="1F3864" w:themeColor="accent5" w:themeShade="80"/>
        </w:rPr>
        <w:lastRenderedPageBreak/>
        <w:t>var maksāt vienu gadu</w:t>
      </w:r>
      <w:r w:rsidR="00C2104E" w:rsidRPr="000D27DA">
        <w:rPr>
          <w:color w:val="1F3864" w:themeColor="accent5" w:themeShade="80"/>
        </w:rPr>
        <w:t xml:space="preserve"> (ja maģistra studiju programmas ilgums būs 2 gadi, tad stipendiju vienam un tam pašam studentam var maksāt 2 gadus)</w:t>
      </w:r>
      <w:r w:rsidR="00127ACC" w:rsidRPr="000D27DA">
        <w:rPr>
          <w:color w:val="1F3864" w:themeColor="accent5" w:themeShade="80"/>
        </w:rPr>
        <w:t>.</w:t>
      </w:r>
    </w:p>
    <w:p w:rsidR="00C23A36" w:rsidRPr="007A7CD0" w:rsidRDefault="00C23A36" w:rsidP="005D50BD">
      <w:pPr>
        <w:pStyle w:val="NormalWeb"/>
        <w:numPr>
          <w:ilvl w:val="0"/>
          <w:numId w:val="3"/>
        </w:numPr>
        <w:jc w:val="both"/>
      </w:pPr>
      <w:r w:rsidRPr="007A7CD0">
        <w:t xml:space="preserve">Tāpat nav vienota izpratne starp AII par mēnešu skaitu gadā atbilstoši studiju programmām attiecībā uz </w:t>
      </w:r>
      <w:proofErr w:type="spellStart"/>
      <w:r w:rsidRPr="007A7CD0">
        <w:t>mērķstipendijām</w:t>
      </w:r>
      <w:proofErr w:type="spellEnd"/>
      <w:r w:rsidRPr="007A7CD0">
        <w:t xml:space="preserve"> - vai tās rēķina 12, 11 vai 10 mēnešus gadā.</w:t>
      </w:r>
    </w:p>
    <w:p w:rsidR="007A7CD0" w:rsidRPr="007A7CD0" w:rsidRDefault="007A7CD0" w:rsidP="007A7CD0">
      <w:pPr>
        <w:pStyle w:val="NormalWeb"/>
        <w:jc w:val="both"/>
        <w:rPr>
          <w:b/>
          <w:i/>
          <w:u w:val="single"/>
        </w:rPr>
      </w:pPr>
      <w:r w:rsidRPr="007A7CD0">
        <w:rPr>
          <w:b/>
          <w:i/>
          <w:u w:val="single"/>
        </w:rPr>
        <w:t>Atbilde</w:t>
      </w:r>
      <w:r w:rsidR="005D50BD">
        <w:rPr>
          <w:b/>
          <w:i/>
          <w:u w:val="single"/>
        </w:rPr>
        <w:t>*</w:t>
      </w:r>
    </w:p>
    <w:p w:rsidR="00110D96" w:rsidRPr="000D27DA" w:rsidRDefault="00110D96" w:rsidP="007A7CD0">
      <w:pPr>
        <w:pStyle w:val="NormalWeb"/>
        <w:jc w:val="both"/>
        <w:rPr>
          <w:color w:val="1F3864" w:themeColor="accent5" w:themeShade="80"/>
        </w:rPr>
      </w:pPr>
      <w:r w:rsidRPr="000D27DA">
        <w:rPr>
          <w:color w:val="1F3864" w:themeColor="accent5" w:themeShade="80"/>
        </w:rPr>
        <w:t xml:space="preserve">Stipendiju piešķiršanas </w:t>
      </w:r>
      <w:r w:rsidR="000B5536" w:rsidRPr="000D27DA">
        <w:rPr>
          <w:color w:val="1F3864" w:themeColor="accent5" w:themeShade="80"/>
        </w:rPr>
        <w:t xml:space="preserve">maksimālo </w:t>
      </w:r>
      <w:r w:rsidRPr="000D27DA">
        <w:rPr>
          <w:color w:val="1F3864" w:themeColor="accent5" w:themeShade="80"/>
        </w:rPr>
        <w:t>laiku nosaka atbilstoši 2004.gada 24.augusta Ministru kabineta noteikumu Nr.740 “Noteikumi par stipendijām” 4.punktam:</w:t>
      </w:r>
    </w:p>
    <w:p w:rsidR="00110D96" w:rsidRPr="000D27DA" w:rsidRDefault="00110D96" w:rsidP="007A7CD0">
      <w:pPr>
        <w:spacing w:after="0" w:line="240" w:lineRule="auto"/>
        <w:jc w:val="both"/>
        <w:rPr>
          <w:rFonts w:cs="Times New Roman"/>
          <w:color w:val="1F3864" w:themeColor="accent5" w:themeShade="80"/>
          <w:szCs w:val="24"/>
        </w:rPr>
      </w:pPr>
      <w:r w:rsidRPr="000D27DA">
        <w:rPr>
          <w:rFonts w:cs="Times New Roman"/>
          <w:color w:val="1F3864" w:themeColor="accent5" w:themeShade="80"/>
          <w:szCs w:val="24"/>
        </w:rPr>
        <w:t>4. No augstākās izglītības iestādes stipendiju fonda var piešķirt:</w:t>
      </w:r>
    </w:p>
    <w:p w:rsidR="00110D96" w:rsidRPr="000D27DA" w:rsidRDefault="00110D96" w:rsidP="007A7CD0">
      <w:pPr>
        <w:spacing w:after="0" w:line="240" w:lineRule="auto"/>
        <w:jc w:val="both"/>
        <w:rPr>
          <w:rFonts w:cs="Times New Roman"/>
          <w:color w:val="1F3864" w:themeColor="accent5" w:themeShade="80"/>
          <w:szCs w:val="24"/>
        </w:rPr>
      </w:pPr>
      <w:r w:rsidRPr="000D27DA">
        <w:rPr>
          <w:rFonts w:cs="Times New Roman"/>
          <w:color w:val="1F3864" w:themeColor="accent5" w:themeShade="80"/>
          <w:szCs w:val="24"/>
        </w:rPr>
        <w:t>4.1. stipendiju studiju programmas apguvei:</w:t>
      </w:r>
    </w:p>
    <w:p w:rsidR="00110D96" w:rsidRPr="000D27DA" w:rsidRDefault="00110D96" w:rsidP="007A7CD0">
      <w:pPr>
        <w:spacing w:after="0" w:line="240" w:lineRule="auto"/>
        <w:jc w:val="both"/>
        <w:rPr>
          <w:rFonts w:cs="Times New Roman"/>
          <w:color w:val="1F3864" w:themeColor="accent5" w:themeShade="80"/>
          <w:szCs w:val="24"/>
        </w:rPr>
      </w:pPr>
      <w:r w:rsidRPr="000D27DA">
        <w:rPr>
          <w:rFonts w:cs="Times New Roman"/>
          <w:color w:val="1F3864" w:themeColor="accent5" w:themeShade="80"/>
          <w:szCs w:val="24"/>
        </w:rPr>
        <w:t xml:space="preserve">4.1.1. bakalaura studiju programmas, profesionālās augstākās izglītības programmas, maģistra studiju programmas studentam un rezidentam medicīnā — </w:t>
      </w:r>
      <w:r w:rsidRPr="000D27DA">
        <w:rPr>
          <w:rFonts w:cs="Times New Roman"/>
          <w:b/>
          <w:color w:val="1F3864" w:themeColor="accent5" w:themeShade="80"/>
          <w:szCs w:val="24"/>
        </w:rPr>
        <w:t>10 mēnešus gadā</w:t>
      </w:r>
      <w:r w:rsidRPr="000D27DA">
        <w:rPr>
          <w:rFonts w:cs="Times New Roman"/>
          <w:color w:val="1F3864" w:themeColor="accent5" w:themeShade="80"/>
          <w:szCs w:val="24"/>
        </w:rPr>
        <w:t xml:space="preserve"> (stipendiju nepiešķir jūlijā un augustā);</w:t>
      </w:r>
    </w:p>
    <w:p w:rsidR="00BD6C2B" w:rsidRPr="000D27DA" w:rsidRDefault="00110D96" w:rsidP="007A7CD0">
      <w:pPr>
        <w:spacing w:after="0" w:line="240" w:lineRule="auto"/>
        <w:jc w:val="both"/>
        <w:rPr>
          <w:rFonts w:cs="Times New Roman"/>
          <w:color w:val="1F3864" w:themeColor="accent5" w:themeShade="80"/>
          <w:szCs w:val="24"/>
        </w:rPr>
      </w:pPr>
      <w:r w:rsidRPr="000D27DA">
        <w:rPr>
          <w:rFonts w:cs="Times New Roman"/>
          <w:color w:val="1F3864" w:themeColor="accent5" w:themeShade="80"/>
          <w:szCs w:val="24"/>
        </w:rPr>
        <w:t xml:space="preserve">4.1.2. doktora studiju programmas studentam — </w:t>
      </w:r>
      <w:r w:rsidRPr="000D27DA">
        <w:rPr>
          <w:rFonts w:cs="Times New Roman"/>
          <w:b/>
          <w:color w:val="1F3864" w:themeColor="accent5" w:themeShade="80"/>
          <w:szCs w:val="24"/>
        </w:rPr>
        <w:t>11 mēnešus gadā</w:t>
      </w:r>
      <w:r w:rsidR="007A7CD0" w:rsidRPr="000D27DA">
        <w:rPr>
          <w:rFonts w:cs="Times New Roman"/>
          <w:color w:val="1F3864" w:themeColor="accent5" w:themeShade="80"/>
          <w:szCs w:val="24"/>
        </w:rPr>
        <w:t xml:space="preserve"> (stipendiju nepiešķir augustā).</w:t>
      </w:r>
    </w:p>
    <w:p w:rsidR="000B5536" w:rsidRPr="007A7CD0" w:rsidRDefault="000B5536" w:rsidP="007A7CD0">
      <w:pPr>
        <w:spacing w:after="0" w:line="240" w:lineRule="auto"/>
        <w:jc w:val="both"/>
        <w:rPr>
          <w:rFonts w:cs="Times New Roman"/>
          <w:szCs w:val="24"/>
        </w:rPr>
      </w:pPr>
    </w:p>
    <w:p w:rsidR="000B5536" w:rsidRPr="007A7CD0" w:rsidRDefault="000B5536" w:rsidP="007A7CD0">
      <w:pPr>
        <w:spacing w:after="0" w:line="240" w:lineRule="auto"/>
        <w:jc w:val="both"/>
        <w:rPr>
          <w:rFonts w:cs="Times New Roman"/>
          <w:szCs w:val="24"/>
        </w:rPr>
      </w:pPr>
    </w:p>
    <w:p w:rsidR="000B5536" w:rsidRDefault="005D50BD" w:rsidP="007A7CD0">
      <w:pPr>
        <w:spacing w:after="0" w:line="240" w:lineRule="auto"/>
        <w:jc w:val="both"/>
        <w:rPr>
          <w:rFonts w:cs="Times New Roman"/>
          <w:szCs w:val="24"/>
        </w:rPr>
      </w:pPr>
      <w:r>
        <w:rPr>
          <w:rFonts w:cs="Times New Roman"/>
          <w:szCs w:val="24"/>
        </w:rPr>
        <w:t>* Atbildes uz 3., 4. un 5.jautājumu sagatavotas sadarbībā ar Izglītības un zinātnes ministriju.</w:t>
      </w:r>
    </w:p>
    <w:p w:rsidR="008A4E6A" w:rsidRDefault="008A4E6A" w:rsidP="007A7CD0">
      <w:pPr>
        <w:spacing w:after="0" w:line="240" w:lineRule="auto"/>
        <w:jc w:val="both"/>
        <w:rPr>
          <w:rFonts w:cs="Times New Roman"/>
          <w:szCs w:val="24"/>
        </w:rPr>
      </w:pPr>
    </w:p>
    <w:p w:rsidR="008A4E6A" w:rsidRDefault="008A4E6A" w:rsidP="008A4E6A">
      <w:pPr>
        <w:spacing w:line="360" w:lineRule="auto"/>
        <w:jc w:val="both"/>
      </w:pPr>
    </w:p>
    <w:p w:rsidR="008A4E6A" w:rsidRPr="008A4E6A" w:rsidRDefault="008A4E6A" w:rsidP="008A4E6A">
      <w:pPr>
        <w:pStyle w:val="ListParagraph"/>
        <w:numPr>
          <w:ilvl w:val="0"/>
          <w:numId w:val="3"/>
        </w:numPr>
        <w:ind w:hanging="436"/>
        <w:jc w:val="both"/>
        <w:rPr>
          <w:rFonts w:ascii="Times New Roman" w:hAnsi="Times New Roman" w:cs="Times New Roman"/>
        </w:rPr>
      </w:pPr>
      <w:r w:rsidRPr="008A4E6A">
        <w:rPr>
          <w:rFonts w:ascii="Times New Roman" w:hAnsi="Times New Roman" w:cs="Times New Roman"/>
        </w:rPr>
        <w:t>Ko darīt un uz kāda līguma pamata drīkst norēķināties ar ekspertiem? </w:t>
      </w:r>
    </w:p>
    <w:p w:rsidR="008A4E6A" w:rsidRPr="008A4E6A" w:rsidRDefault="008A4E6A" w:rsidP="008A4E6A">
      <w:pPr>
        <w:spacing w:after="0" w:line="240" w:lineRule="auto"/>
        <w:ind w:left="720" w:hanging="11"/>
        <w:jc w:val="both"/>
        <w:rPr>
          <w:rFonts w:cs="Times New Roman"/>
        </w:rPr>
      </w:pPr>
      <w:r w:rsidRPr="008A4E6A">
        <w:rPr>
          <w:rFonts w:cs="Times New Roman"/>
        </w:rPr>
        <w:t xml:space="preserve">MK noteikumi paredz, ka to drīkst darīt ar 0,3 slodzi, taču ekspertam reāli tik daudz laiks šajā projektā un darbībā neaizņems, tātad tas nav variants. </w:t>
      </w:r>
    </w:p>
    <w:p w:rsidR="008A4E6A" w:rsidRPr="008A4E6A" w:rsidRDefault="008A4E6A" w:rsidP="008A4E6A">
      <w:pPr>
        <w:spacing w:after="0" w:line="240" w:lineRule="auto"/>
        <w:ind w:left="720" w:hanging="11"/>
        <w:jc w:val="both"/>
        <w:rPr>
          <w:rFonts w:cs="Times New Roman"/>
        </w:rPr>
      </w:pPr>
      <w:r w:rsidRPr="008A4E6A">
        <w:rPr>
          <w:rFonts w:cs="Times New Roman"/>
        </w:rPr>
        <w:t xml:space="preserve">Ja viņi ir uz uzņēmuma līguma pamata vai ir jābūt iepirkuma procedūrai tad, ja līgums atsevišķi nepārsniegtu 500eiro, bet kopējā summa par visiem līgumiem pārsniegtu 1000eiro. </w:t>
      </w:r>
    </w:p>
    <w:p w:rsidR="008A4E6A" w:rsidRPr="008A4E6A" w:rsidRDefault="008A4E6A" w:rsidP="008A4E6A">
      <w:pPr>
        <w:spacing w:after="0" w:line="240" w:lineRule="auto"/>
        <w:ind w:left="720" w:hanging="11"/>
        <w:jc w:val="both"/>
        <w:rPr>
          <w:rFonts w:cs="Times New Roman"/>
        </w:rPr>
      </w:pPr>
      <w:r w:rsidRPr="008A4E6A">
        <w:rPr>
          <w:rFonts w:cs="Times New Roman"/>
        </w:rPr>
        <w:t xml:space="preserve">Taisot iepirkumu, ekspertiem jābūt </w:t>
      </w:r>
      <w:proofErr w:type="spellStart"/>
      <w:r w:rsidRPr="008A4E6A">
        <w:rPr>
          <w:rFonts w:cs="Times New Roman"/>
        </w:rPr>
        <w:t>pašnodarbinātās</w:t>
      </w:r>
      <w:proofErr w:type="spellEnd"/>
      <w:r w:rsidRPr="008A4E6A">
        <w:rPr>
          <w:rFonts w:cs="Times New Roman"/>
        </w:rPr>
        <w:t xml:space="preserve"> personas statusam un tas nozīmē, ka, ja ekspertam nav šī statusa, tad viņu nevar ņemt, jo viņš nesanāk juridiski pareizā statusā? </w:t>
      </w:r>
    </w:p>
    <w:p w:rsidR="008A4E6A" w:rsidRPr="008A4E6A" w:rsidRDefault="008A4E6A" w:rsidP="008A4E6A">
      <w:pPr>
        <w:spacing w:after="0" w:line="240" w:lineRule="auto"/>
        <w:ind w:left="720" w:hanging="11"/>
        <w:jc w:val="both"/>
        <w:rPr>
          <w:rFonts w:cs="Times New Roman"/>
        </w:rPr>
      </w:pPr>
      <w:r w:rsidRPr="008A4E6A">
        <w:rPr>
          <w:rFonts w:cs="Times New Roman"/>
        </w:rPr>
        <w:t>Vai opcija būtu arī autoratlīdzības līgums, lai norēķinātos ar ekspertiem. Kādi vēl varētu būt risinājumi šai situācijai?</w:t>
      </w:r>
    </w:p>
    <w:p w:rsidR="008A4E6A" w:rsidRDefault="008A4E6A" w:rsidP="007A7CD0">
      <w:pPr>
        <w:spacing w:after="0" w:line="240" w:lineRule="auto"/>
        <w:jc w:val="both"/>
        <w:rPr>
          <w:rFonts w:cs="Times New Roman"/>
          <w:szCs w:val="24"/>
        </w:rPr>
      </w:pPr>
    </w:p>
    <w:p w:rsidR="008A4E6A" w:rsidRDefault="008A4E6A" w:rsidP="008A4E6A">
      <w:pPr>
        <w:pStyle w:val="NormalWeb"/>
        <w:jc w:val="both"/>
        <w:rPr>
          <w:rFonts w:ascii="Calibri" w:hAnsi="Calibri"/>
          <w:color w:val="1F497D"/>
          <w:sz w:val="22"/>
        </w:rPr>
      </w:pPr>
      <w:r w:rsidRPr="007A7CD0">
        <w:rPr>
          <w:b/>
          <w:i/>
          <w:u w:val="single"/>
        </w:rPr>
        <w:t>Atbilde</w:t>
      </w:r>
    </w:p>
    <w:p w:rsidR="008A4E6A" w:rsidRPr="008A4E6A" w:rsidRDefault="008A4E6A" w:rsidP="008A4E6A">
      <w:pPr>
        <w:rPr>
          <w:rFonts w:cs="Times New Roman"/>
          <w:color w:val="1F497D"/>
          <w:szCs w:val="24"/>
        </w:rPr>
      </w:pPr>
      <w:r w:rsidRPr="008A4E6A">
        <w:rPr>
          <w:rFonts w:cs="Times New Roman"/>
          <w:color w:val="1F497D"/>
          <w:szCs w:val="24"/>
        </w:rPr>
        <w:t>Atbildot uz jūsu jautājumu, sniedzu sekojošus komentārus:</w:t>
      </w:r>
    </w:p>
    <w:p w:rsidR="008A4E6A" w:rsidRPr="008A4E6A" w:rsidRDefault="008A4E6A" w:rsidP="008A4E6A">
      <w:pPr>
        <w:pStyle w:val="ListParagraph"/>
        <w:numPr>
          <w:ilvl w:val="0"/>
          <w:numId w:val="4"/>
        </w:numPr>
        <w:rPr>
          <w:rFonts w:ascii="Times New Roman" w:hAnsi="Times New Roman" w:cs="Times New Roman"/>
          <w:color w:val="1F497D"/>
          <w:szCs w:val="24"/>
        </w:rPr>
      </w:pPr>
      <w:r w:rsidRPr="008A4E6A">
        <w:rPr>
          <w:rFonts w:ascii="Times New Roman" w:hAnsi="Times New Roman" w:cs="Times New Roman"/>
          <w:color w:val="1F497D"/>
          <w:szCs w:val="24"/>
        </w:rPr>
        <w:t>Lai norēķinātos ar ekspertu, atkarībā no plānotās eksperta noslodzes un tam paredzētā darba uzdevuma, jūs varat izmatot sekojošas iespējas;</w:t>
      </w:r>
    </w:p>
    <w:p w:rsidR="008A4E6A" w:rsidRPr="008A4E6A" w:rsidRDefault="008A4E6A" w:rsidP="008A4E6A">
      <w:pPr>
        <w:pStyle w:val="ListParagraph"/>
        <w:numPr>
          <w:ilvl w:val="1"/>
          <w:numId w:val="4"/>
        </w:numPr>
        <w:rPr>
          <w:rFonts w:ascii="Times New Roman" w:hAnsi="Times New Roman" w:cs="Times New Roman"/>
          <w:color w:val="1F497D"/>
          <w:szCs w:val="24"/>
        </w:rPr>
      </w:pPr>
      <w:r w:rsidRPr="008A4E6A">
        <w:rPr>
          <w:rFonts w:ascii="Times New Roman" w:hAnsi="Times New Roman" w:cs="Times New Roman"/>
          <w:b/>
          <w:bCs/>
          <w:szCs w:val="24"/>
        </w:rPr>
        <w:t xml:space="preserve">Eksperta darba izmaksas iekļaut “Projekta īstenošanas personāla atlīdzības izmaksās” . </w:t>
      </w:r>
      <w:r w:rsidRPr="008A4E6A">
        <w:rPr>
          <w:rFonts w:ascii="Times New Roman" w:hAnsi="Times New Roman" w:cs="Times New Roman"/>
          <w:szCs w:val="24"/>
        </w:rPr>
        <w:t xml:space="preserve">Šajā gadījumā ir jāievēro 2018.gada 09.janvāra MK noteikumu Nr.27 35.punkta prasības (eksperta </w:t>
      </w:r>
      <w:r w:rsidRPr="008A4E6A">
        <w:rPr>
          <w:rFonts w:ascii="Times New Roman" w:hAnsi="Times New Roman" w:cs="Times New Roman"/>
          <w:szCs w:val="24"/>
          <w:u w:val="single"/>
        </w:rPr>
        <w:t>slodze ne mazāka kā 0,3</w:t>
      </w:r>
      <w:r w:rsidRPr="008A4E6A">
        <w:rPr>
          <w:rFonts w:ascii="Times New Roman" w:hAnsi="Times New Roman" w:cs="Times New Roman"/>
          <w:szCs w:val="24"/>
        </w:rPr>
        <w:t>).</w:t>
      </w:r>
    </w:p>
    <w:p w:rsidR="008A4E6A" w:rsidRDefault="008A4E6A" w:rsidP="008A4E6A">
      <w:pPr>
        <w:pStyle w:val="ListParagraph"/>
        <w:ind w:left="1440"/>
        <w:rPr>
          <w:rFonts w:ascii="Times New Roman" w:hAnsi="Times New Roman" w:cs="Times New Roman"/>
          <w:szCs w:val="24"/>
        </w:rPr>
      </w:pPr>
      <w:r w:rsidRPr="008A4E6A">
        <w:rPr>
          <w:rFonts w:ascii="Times New Roman" w:hAnsi="Times New Roman" w:cs="Times New Roman"/>
          <w:szCs w:val="24"/>
        </w:rPr>
        <w:t>Uzņēmuma līguma slēgšanas nosacījumiem ir jābūt saskaņā ar augstskolas definētajām iekšējām procedūrām un normatīvajiem aktiem.</w:t>
      </w:r>
    </w:p>
    <w:p w:rsidR="00AE2DCC" w:rsidRPr="008A4E6A" w:rsidRDefault="00AE2DCC" w:rsidP="008A4E6A">
      <w:pPr>
        <w:pStyle w:val="ListParagraph"/>
        <w:ind w:left="1440"/>
        <w:rPr>
          <w:rFonts w:ascii="Times New Roman" w:hAnsi="Times New Roman" w:cs="Times New Roman"/>
          <w:color w:val="1F497D"/>
          <w:szCs w:val="24"/>
        </w:rPr>
      </w:pPr>
    </w:p>
    <w:tbl>
      <w:tblPr>
        <w:tblW w:w="0" w:type="dxa"/>
        <w:tblInd w:w="-5" w:type="dxa"/>
        <w:tblCellMar>
          <w:left w:w="0" w:type="dxa"/>
          <w:right w:w="0" w:type="dxa"/>
        </w:tblCellMar>
        <w:tblLook w:val="04A0" w:firstRow="1" w:lastRow="0" w:firstColumn="1" w:lastColumn="0" w:noHBand="0" w:noVBand="1"/>
      </w:tblPr>
      <w:tblGrid>
        <w:gridCol w:w="849"/>
        <w:gridCol w:w="3971"/>
      </w:tblGrid>
      <w:tr w:rsidR="008A4E6A" w:rsidTr="00AE2DCC">
        <w:trPr>
          <w:trHeight w:val="395"/>
        </w:trPr>
        <w:tc>
          <w:tcPr>
            <w:tcW w:w="849" w:type="dxa"/>
            <w:tcBorders>
              <w:top w:val="single" w:sz="4" w:space="0" w:color="auto"/>
              <w:left w:val="single" w:sz="4" w:space="0" w:color="auto"/>
              <w:bottom w:val="single" w:sz="4" w:space="0" w:color="auto"/>
              <w:right w:val="nil"/>
            </w:tcBorders>
            <w:shd w:val="clear" w:color="auto" w:fill="D9D9D9"/>
            <w:tcMar>
              <w:top w:w="0" w:type="dxa"/>
              <w:left w:w="108" w:type="dxa"/>
              <w:bottom w:w="0" w:type="dxa"/>
              <w:right w:w="108" w:type="dxa"/>
            </w:tcMar>
            <w:hideMark/>
          </w:tcPr>
          <w:p w:rsidR="008A4E6A" w:rsidRDefault="008A4E6A">
            <w:pPr>
              <w:rPr>
                <w:sz w:val="20"/>
                <w:szCs w:val="20"/>
                <w:lang w:eastAsia="lv-LV"/>
              </w:rPr>
            </w:pPr>
            <w:r>
              <w:rPr>
                <w:sz w:val="20"/>
                <w:szCs w:val="20"/>
              </w:rPr>
              <w:t>3.1.</w:t>
            </w:r>
          </w:p>
        </w:tc>
        <w:tc>
          <w:tcPr>
            <w:tcW w:w="3971" w:type="dxa"/>
            <w:tcBorders>
              <w:top w:val="single" w:sz="4" w:space="0" w:color="auto"/>
              <w:left w:val="single" w:sz="8"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8A4E6A" w:rsidRDefault="008A4E6A">
            <w:pPr>
              <w:jc w:val="both"/>
              <w:rPr>
                <w:i/>
                <w:iCs/>
                <w:sz w:val="18"/>
                <w:szCs w:val="18"/>
              </w:rPr>
            </w:pPr>
            <w:r>
              <w:rPr>
                <w:sz w:val="20"/>
                <w:szCs w:val="20"/>
              </w:rPr>
              <w:t>Projekta īstenošanas personāla atlīdzības izmaksas</w:t>
            </w:r>
          </w:p>
        </w:tc>
      </w:tr>
      <w:tr w:rsidR="008A4E6A" w:rsidTr="00AE2DCC">
        <w:trPr>
          <w:trHeight w:val="501"/>
        </w:trPr>
        <w:tc>
          <w:tcPr>
            <w:tcW w:w="849" w:type="dxa"/>
            <w:tcBorders>
              <w:top w:val="single" w:sz="4" w:space="0" w:color="auto"/>
              <w:left w:val="single" w:sz="8" w:space="0" w:color="auto"/>
              <w:bottom w:val="single" w:sz="8" w:space="0" w:color="auto"/>
              <w:right w:val="nil"/>
            </w:tcBorders>
            <w:shd w:val="clear" w:color="auto" w:fill="D9D9D9"/>
            <w:tcMar>
              <w:top w:w="0" w:type="dxa"/>
              <w:left w:w="108" w:type="dxa"/>
              <w:bottom w:w="0" w:type="dxa"/>
              <w:right w:w="108" w:type="dxa"/>
            </w:tcMar>
            <w:hideMark/>
          </w:tcPr>
          <w:p w:rsidR="008A4E6A" w:rsidRDefault="008A4E6A">
            <w:pPr>
              <w:rPr>
                <w:sz w:val="20"/>
                <w:szCs w:val="20"/>
              </w:rPr>
            </w:pPr>
            <w:r>
              <w:rPr>
                <w:sz w:val="20"/>
                <w:szCs w:val="20"/>
              </w:rPr>
              <w:t>3.1.1.</w:t>
            </w:r>
          </w:p>
        </w:tc>
        <w:tc>
          <w:tcPr>
            <w:tcW w:w="3971" w:type="dxa"/>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A4E6A" w:rsidRDefault="008A4E6A">
            <w:pPr>
              <w:jc w:val="both"/>
              <w:rPr>
                <w:b/>
                <w:bCs/>
                <w:sz w:val="20"/>
                <w:szCs w:val="20"/>
              </w:rPr>
            </w:pPr>
            <w:r>
              <w:rPr>
                <w:b/>
                <w:bCs/>
                <w:sz w:val="20"/>
                <w:szCs w:val="20"/>
              </w:rPr>
              <w:t>Projekta īstenošanas personāla atlīdzības izmaksas (uz darba līguma pamata)</w:t>
            </w:r>
          </w:p>
          <w:p w:rsidR="008A4E6A" w:rsidRDefault="008A4E6A">
            <w:pPr>
              <w:jc w:val="both"/>
              <w:rPr>
                <w:i/>
                <w:iCs/>
                <w:color w:val="0000FF"/>
                <w:sz w:val="20"/>
                <w:szCs w:val="20"/>
              </w:rPr>
            </w:pPr>
            <w:r>
              <w:rPr>
                <w:i/>
                <w:iCs/>
                <w:color w:val="0000FF"/>
                <w:sz w:val="20"/>
                <w:szCs w:val="20"/>
                <w:u w:val="single"/>
              </w:rPr>
              <w:t xml:space="preserve">MK </w:t>
            </w:r>
            <w:r>
              <w:rPr>
                <w:i/>
                <w:iCs/>
                <w:color w:val="0000FF"/>
                <w:sz w:val="20"/>
                <w:szCs w:val="20"/>
                <w:u w:val="single"/>
                <w:shd w:val="clear" w:color="auto" w:fill="D9D9D9"/>
              </w:rPr>
              <w:t>noteikumu 20.1.1.2.punkts</w:t>
            </w:r>
            <w:r>
              <w:rPr>
                <w:i/>
                <w:iCs/>
                <w:color w:val="0000FF"/>
                <w:sz w:val="20"/>
                <w:szCs w:val="20"/>
              </w:rPr>
              <w:t xml:space="preserve">. </w:t>
            </w:r>
          </w:p>
          <w:p w:rsidR="008A4E6A" w:rsidRDefault="008A4E6A">
            <w:pPr>
              <w:jc w:val="both"/>
              <w:rPr>
                <w:b/>
                <w:bCs/>
                <w:sz w:val="20"/>
                <w:szCs w:val="20"/>
              </w:rPr>
            </w:pPr>
            <w:r>
              <w:rPr>
                <w:i/>
                <w:iCs/>
                <w:color w:val="0000FF"/>
                <w:sz w:val="18"/>
                <w:szCs w:val="18"/>
              </w:rPr>
              <w:lastRenderedPageBreak/>
              <w:t>Projekta īstenošanas personāla (konsultanti, eksperti, un citi speciālisti, tai skaitā ārvalstu) atlīdzības izmaksas (izņemot virsstundas) MK noteikumu 19.1., 19.2. un 19.4.  apakšpunktā minēto atbalstāmo darbību īstenošanai</w:t>
            </w:r>
          </w:p>
        </w:tc>
      </w:tr>
      <w:tr w:rsidR="008A4E6A" w:rsidTr="008A4E6A">
        <w:tc>
          <w:tcPr>
            <w:tcW w:w="849" w:type="dxa"/>
            <w:tcBorders>
              <w:top w:val="nil"/>
              <w:left w:val="single" w:sz="8" w:space="0" w:color="auto"/>
              <w:bottom w:val="single" w:sz="8" w:space="0" w:color="auto"/>
              <w:right w:val="nil"/>
            </w:tcBorders>
            <w:shd w:val="clear" w:color="auto" w:fill="D9D9D9"/>
            <w:tcMar>
              <w:top w:w="0" w:type="dxa"/>
              <w:left w:w="108" w:type="dxa"/>
              <w:bottom w:w="0" w:type="dxa"/>
              <w:right w:w="108" w:type="dxa"/>
            </w:tcMar>
            <w:hideMark/>
          </w:tcPr>
          <w:p w:rsidR="008A4E6A" w:rsidRDefault="008A4E6A">
            <w:pPr>
              <w:rPr>
                <w:sz w:val="20"/>
                <w:szCs w:val="20"/>
              </w:rPr>
            </w:pPr>
            <w:r>
              <w:rPr>
                <w:sz w:val="20"/>
                <w:szCs w:val="20"/>
              </w:rPr>
              <w:lastRenderedPageBreak/>
              <w:t>3.1.2.</w:t>
            </w:r>
          </w:p>
        </w:tc>
        <w:tc>
          <w:tcPr>
            <w:tcW w:w="397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A4E6A" w:rsidRDefault="008A4E6A">
            <w:pPr>
              <w:jc w:val="both"/>
              <w:rPr>
                <w:b/>
                <w:bCs/>
                <w:sz w:val="20"/>
                <w:szCs w:val="20"/>
              </w:rPr>
            </w:pPr>
            <w:r>
              <w:rPr>
                <w:b/>
                <w:bCs/>
                <w:sz w:val="20"/>
                <w:szCs w:val="20"/>
              </w:rPr>
              <w:t>Projekta īstenošanas personāla izmaksas uzņēmuma/pakalpojuma līguma gadījumā</w:t>
            </w:r>
          </w:p>
          <w:p w:rsidR="008A4E6A" w:rsidRDefault="008A4E6A">
            <w:pPr>
              <w:jc w:val="both"/>
              <w:rPr>
                <w:i/>
                <w:iCs/>
                <w:color w:val="0000FF"/>
                <w:sz w:val="20"/>
                <w:szCs w:val="20"/>
                <w:u w:val="single"/>
              </w:rPr>
            </w:pPr>
            <w:r>
              <w:rPr>
                <w:i/>
                <w:iCs/>
                <w:color w:val="0000FF"/>
                <w:sz w:val="20"/>
                <w:szCs w:val="20"/>
              </w:rPr>
              <w:t>MK noteikumu 20.1.7.punkts</w:t>
            </w:r>
            <w:r>
              <w:rPr>
                <w:i/>
                <w:iCs/>
                <w:color w:val="0000FF"/>
                <w:sz w:val="20"/>
                <w:szCs w:val="20"/>
                <w:u w:val="single"/>
              </w:rPr>
              <w:t>.</w:t>
            </w:r>
          </w:p>
          <w:p w:rsidR="008A4E6A" w:rsidRDefault="008A4E6A">
            <w:pPr>
              <w:jc w:val="both"/>
              <w:rPr>
                <w:i/>
                <w:iCs/>
                <w:sz w:val="20"/>
                <w:szCs w:val="20"/>
              </w:rPr>
            </w:pPr>
            <w:r>
              <w:rPr>
                <w:i/>
                <w:iCs/>
                <w:color w:val="0000FF"/>
                <w:sz w:val="18"/>
                <w:szCs w:val="18"/>
              </w:rPr>
              <w:t>Pakalpojumu izmaksas, tai skaitā …. ekspertu, konsultantu un citu speciālistu, tai skaitā ārvalstu, izmaksas šo noteikumu 19.1., 19.2. un 19.4. apakšpunktā minēto atbalstāmo darbību īstenošanai</w:t>
            </w:r>
          </w:p>
        </w:tc>
      </w:tr>
    </w:tbl>
    <w:p w:rsidR="008A4E6A" w:rsidRDefault="008A4E6A" w:rsidP="008A4E6A">
      <w:pPr>
        <w:pStyle w:val="ListParagraph"/>
        <w:numPr>
          <w:ilvl w:val="1"/>
          <w:numId w:val="4"/>
        </w:numPr>
        <w:jc w:val="both"/>
        <w:rPr>
          <w:b/>
          <w:bCs/>
          <w:sz w:val="20"/>
          <w:szCs w:val="20"/>
        </w:rPr>
      </w:pPr>
      <w:r>
        <w:rPr>
          <w:b/>
          <w:bCs/>
          <w:sz w:val="20"/>
          <w:szCs w:val="20"/>
        </w:rPr>
        <w:t>Eksperta darba izmaksas iekļaut “Pakalpojumu izmaksās”</w:t>
      </w:r>
    </w:p>
    <w:p w:rsidR="008A4E6A" w:rsidRDefault="008A4E6A" w:rsidP="008A4E6A">
      <w:pPr>
        <w:jc w:val="both"/>
        <w:rPr>
          <w:sz w:val="20"/>
          <w:szCs w:val="20"/>
          <w:u w:val="single"/>
        </w:rPr>
      </w:pPr>
    </w:p>
    <w:tbl>
      <w:tblPr>
        <w:tblW w:w="0" w:type="dxa"/>
        <w:tblInd w:w="-5" w:type="dxa"/>
        <w:tblCellMar>
          <w:left w:w="0" w:type="dxa"/>
          <w:right w:w="0" w:type="dxa"/>
        </w:tblCellMar>
        <w:tblLook w:val="04A0" w:firstRow="1" w:lastRow="0" w:firstColumn="1" w:lastColumn="0" w:noHBand="0" w:noVBand="1"/>
      </w:tblPr>
      <w:tblGrid>
        <w:gridCol w:w="849"/>
        <w:gridCol w:w="3971"/>
      </w:tblGrid>
      <w:tr w:rsidR="008A4E6A" w:rsidTr="00AE2DCC">
        <w:tc>
          <w:tcPr>
            <w:tcW w:w="84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8A4E6A" w:rsidRDefault="008A4E6A">
            <w:pPr>
              <w:rPr>
                <w:b/>
                <w:bCs/>
                <w:sz w:val="20"/>
                <w:szCs w:val="20"/>
              </w:rPr>
            </w:pPr>
            <w:r>
              <w:rPr>
                <w:b/>
                <w:bCs/>
                <w:sz w:val="20"/>
                <w:szCs w:val="20"/>
              </w:rPr>
              <w:t>13.</w:t>
            </w:r>
          </w:p>
        </w:tc>
        <w:tc>
          <w:tcPr>
            <w:tcW w:w="397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8A4E6A" w:rsidRDefault="008A4E6A">
            <w:pPr>
              <w:spacing w:before="120" w:after="120"/>
              <w:rPr>
                <w:b/>
                <w:bCs/>
                <w:i/>
                <w:iCs/>
                <w:sz w:val="20"/>
                <w:szCs w:val="20"/>
              </w:rPr>
            </w:pPr>
            <w:r>
              <w:rPr>
                <w:b/>
                <w:bCs/>
                <w:sz w:val="20"/>
                <w:szCs w:val="20"/>
              </w:rPr>
              <w:t>Pārējās projekta īstenošanas izmaksas</w:t>
            </w:r>
          </w:p>
        </w:tc>
      </w:tr>
      <w:tr w:rsidR="008A4E6A" w:rsidTr="00AE2DCC">
        <w:tc>
          <w:tcPr>
            <w:tcW w:w="849" w:type="dxa"/>
            <w:tcBorders>
              <w:top w:val="single" w:sz="4" w:space="0" w:color="auto"/>
              <w:left w:val="single" w:sz="8" w:space="0" w:color="auto"/>
              <w:bottom w:val="single" w:sz="8" w:space="0" w:color="auto"/>
              <w:right w:val="nil"/>
            </w:tcBorders>
            <w:shd w:val="clear" w:color="auto" w:fill="D9D9D9"/>
            <w:tcMar>
              <w:top w:w="0" w:type="dxa"/>
              <w:left w:w="108" w:type="dxa"/>
              <w:bottom w:w="0" w:type="dxa"/>
              <w:right w:w="108" w:type="dxa"/>
            </w:tcMar>
            <w:hideMark/>
          </w:tcPr>
          <w:p w:rsidR="008A4E6A" w:rsidRDefault="008A4E6A">
            <w:pPr>
              <w:rPr>
                <w:sz w:val="20"/>
                <w:szCs w:val="20"/>
              </w:rPr>
            </w:pPr>
            <w:r>
              <w:rPr>
                <w:sz w:val="20"/>
                <w:szCs w:val="20"/>
              </w:rPr>
              <w:t>13.1.</w:t>
            </w:r>
          </w:p>
        </w:tc>
        <w:tc>
          <w:tcPr>
            <w:tcW w:w="3971" w:type="dxa"/>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A4E6A" w:rsidRDefault="008A4E6A">
            <w:pPr>
              <w:jc w:val="both"/>
              <w:rPr>
                <w:sz w:val="20"/>
                <w:szCs w:val="20"/>
                <w:u w:val="single"/>
              </w:rPr>
            </w:pPr>
            <w:r>
              <w:rPr>
                <w:b/>
                <w:bCs/>
                <w:sz w:val="20"/>
                <w:szCs w:val="20"/>
              </w:rPr>
              <w:t>Pakalpojumu izmaksas</w:t>
            </w:r>
          </w:p>
          <w:p w:rsidR="008A4E6A" w:rsidRDefault="008A4E6A">
            <w:pPr>
              <w:jc w:val="both"/>
              <w:rPr>
                <w:i/>
                <w:iCs/>
                <w:color w:val="0000FF"/>
                <w:sz w:val="20"/>
                <w:szCs w:val="20"/>
              </w:rPr>
            </w:pPr>
            <w:r>
              <w:rPr>
                <w:i/>
                <w:iCs/>
                <w:color w:val="0000FF"/>
                <w:sz w:val="20"/>
                <w:szCs w:val="20"/>
                <w:u w:val="single"/>
              </w:rPr>
              <w:t xml:space="preserve">MK </w:t>
            </w:r>
            <w:r>
              <w:rPr>
                <w:i/>
                <w:iCs/>
                <w:color w:val="0000FF"/>
                <w:sz w:val="20"/>
                <w:szCs w:val="20"/>
                <w:u w:val="single"/>
                <w:shd w:val="clear" w:color="auto" w:fill="D9D9D9"/>
              </w:rPr>
              <w:t>noteikumu 20.1.7.punkts</w:t>
            </w:r>
            <w:r>
              <w:rPr>
                <w:i/>
                <w:iCs/>
                <w:color w:val="0000FF"/>
                <w:sz w:val="20"/>
                <w:szCs w:val="20"/>
              </w:rPr>
              <w:t xml:space="preserve">. </w:t>
            </w:r>
          </w:p>
          <w:p w:rsidR="008A4E6A" w:rsidRDefault="008A4E6A">
            <w:pPr>
              <w:jc w:val="both"/>
              <w:rPr>
                <w:b/>
                <w:bCs/>
                <w:i/>
                <w:iCs/>
                <w:color w:val="0000FF"/>
                <w:sz w:val="20"/>
                <w:szCs w:val="20"/>
              </w:rPr>
            </w:pPr>
            <w:r>
              <w:rPr>
                <w:i/>
                <w:iCs/>
                <w:color w:val="0000FF"/>
                <w:sz w:val="18"/>
                <w:szCs w:val="18"/>
              </w:rPr>
              <w:t>Pakalpojumu izmaksas, tai skaitā tulkošanas izmaksas MK noteikumu 19.1., 19.2. un 19.3.apakšpunktā minēto atbalstāmo darbību īstenošanai, juridisko pakalpojumu izmaksas MK noteikumu 19.1. apakšpunktā minēto atbalstāmo darbību īstenošanai, ekspertu, konsultantu un citu speciālistu, tai skaitā ārvalstu, izmaksas MK noteikumu 19.1., 19.2. un 19.4. apakšpunktā minēto atbalstāmo darbību</w:t>
            </w:r>
            <w:r>
              <w:rPr>
                <w:i/>
                <w:iCs/>
                <w:color w:val="0000FF"/>
                <w:sz w:val="20"/>
                <w:szCs w:val="20"/>
              </w:rPr>
              <w:t xml:space="preserve"> </w:t>
            </w:r>
            <w:r>
              <w:rPr>
                <w:i/>
                <w:iCs/>
                <w:color w:val="0000FF"/>
                <w:sz w:val="18"/>
                <w:szCs w:val="18"/>
              </w:rPr>
              <w:t>īstenošanai, projekta vadības personāla izmaksas MK noteikumu 19.5. un 19.6. apakšpunktā minēto atbalstāmo darbību īstenošanai</w:t>
            </w:r>
          </w:p>
        </w:tc>
      </w:tr>
    </w:tbl>
    <w:p w:rsidR="008A4E6A" w:rsidRDefault="008A4E6A" w:rsidP="008A4E6A">
      <w:pPr>
        <w:rPr>
          <w:color w:val="1F497D"/>
          <w:sz w:val="22"/>
        </w:rPr>
      </w:pPr>
    </w:p>
    <w:p w:rsidR="008A4E6A" w:rsidRPr="008A4E6A" w:rsidRDefault="008A4E6A" w:rsidP="008A4E6A">
      <w:pPr>
        <w:rPr>
          <w:rFonts w:cs="Times New Roman"/>
          <w:color w:val="1F497D"/>
          <w:szCs w:val="24"/>
        </w:rPr>
      </w:pPr>
      <w:r w:rsidRPr="008A4E6A">
        <w:rPr>
          <w:rFonts w:cs="Times New Roman"/>
          <w:color w:val="1F497D"/>
          <w:szCs w:val="24"/>
        </w:rPr>
        <w:t xml:space="preserve">Te kā viens no iespējamajiem risinājumiem var būt  jūsu minētais </w:t>
      </w:r>
      <w:r w:rsidRPr="008A4E6A">
        <w:rPr>
          <w:rFonts w:cs="Times New Roman"/>
          <w:b/>
          <w:bCs/>
          <w:color w:val="1F497D"/>
          <w:szCs w:val="24"/>
        </w:rPr>
        <w:t>Autoruzraudzības līgums</w:t>
      </w:r>
      <w:r w:rsidRPr="008A4E6A">
        <w:rPr>
          <w:rFonts w:cs="Times New Roman"/>
          <w:color w:val="1F497D"/>
          <w:szCs w:val="24"/>
        </w:rPr>
        <w:t xml:space="preserve">. Izmantojot šo  pieeju jums, kā projekta iesniedzējam </w:t>
      </w:r>
      <w:r w:rsidRPr="008A4E6A">
        <w:rPr>
          <w:rFonts w:cs="Times New Roman"/>
          <w:color w:val="1F497D"/>
          <w:szCs w:val="24"/>
          <w:u w:val="single"/>
        </w:rPr>
        <w:t>ir jāspēj pamatot, ka eksperta ieguldījums ir autoratlīdzības objekts</w:t>
      </w:r>
      <w:r w:rsidRPr="008A4E6A">
        <w:rPr>
          <w:rFonts w:cs="Times New Roman"/>
          <w:color w:val="1F497D"/>
          <w:szCs w:val="24"/>
        </w:rPr>
        <w:t xml:space="preserve"> un atbilst Autortiesību likumā noteiktajām normām. </w:t>
      </w:r>
    </w:p>
    <w:p w:rsidR="008A4E6A" w:rsidRPr="008A4E6A" w:rsidRDefault="008A4E6A" w:rsidP="008A4E6A">
      <w:pPr>
        <w:pStyle w:val="Heading2"/>
        <w:rPr>
          <w:rFonts w:ascii="Times New Roman" w:eastAsia="Times New Roman" w:hAnsi="Times New Roman"/>
          <w:b/>
          <w:bCs/>
          <w:color w:val="auto"/>
          <w:sz w:val="24"/>
          <w:szCs w:val="24"/>
        </w:rPr>
      </w:pPr>
      <w:r w:rsidRPr="008A4E6A">
        <w:rPr>
          <w:rFonts w:ascii="Times New Roman" w:eastAsia="Times New Roman" w:hAnsi="Times New Roman"/>
          <w:color w:val="1F497D"/>
          <w:sz w:val="24"/>
          <w:szCs w:val="24"/>
        </w:rPr>
        <w:t xml:space="preserve">Izvēloties šo risinājumu, jums kā projekta iesniedzējam, augstāk minētais pamatojums ir jāiekļauj projekta iesnieguma </w:t>
      </w:r>
      <w:bookmarkStart w:id="2" w:name="_Toc505859406"/>
      <w:r w:rsidRPr="008A4E6A">
        <w:rPr>
          <w:rFonts w:ascii="Times New Roman" w:eastAsia="Times New Roman" w:hAnsi="Times New Roman"/>
          <w:b/>
          <w:bCs/>
          <w:color w:val="auto"/>
          <w:sz w:val="24"/>
          <w:szCs w:val="24"/>
        </w:rPr>
        <w:t>2.1.punktā “Projekta īstenošanas kapacitāte</w:t>
      </w:r>
      <w:bookmarkEnd w:id="2"/>
      <w:r w:rsidRPr="008A4E6A">
        <w:rPr>
          <w:rFonts w:ascii="Times New Roman" w:eastAsia="Times New Roman" w:hAnsi="Times New Roman"/>
          <w:b/>
          <w:bCs/>
          <w:color w:val="auto"/>
          <w:sz w:val="24"/>
          <w:szCs w:val="24"/>
        </w:rPr>
        <w:t xml:space="preserve">” </w:t>
      </w:r>
      <w:r w:rsidRPr="008A4E6A">
        <w:rPr>
          <w:rFonts w:ascii="Times New Roman" w:eastAsia="Times New Roman" w:hAnsi="Times New Roman"/>
          <w:b/>
          <w:bCs/>
          <w:color w:val="1F4E79"/>
          <w:sz w:val="24"/>
          <w:szCs w:val="24"/>
        </w:rPr>
        <w:t>(</w:t>
      </w:r>
      <w:r w:rsidRPr="008A4E6A">
        <w:rPr>
          <w:rFonts w:ascii="Times New Roman" w:eastAsia="Times New Roman" w:hAnsi="Times New Roman"/>
          <w:color w:val="1F4E79"/>
          <w:sz w:val="24"/>
          <w:szCs w:val="24"/>
        </w:rPr>
        <w:t>Ī</w:t>
      </w:r>
      <w:r w:rsidRPr="008A4E6A">
        <w:rPr>
          <w:rFonts w:ascii="Times New Roman" w:eastAsia="Times New Roman" w:hAnsi="Times New Roman"/>
          <w:sz w:val="24"/>
          <w:szCs w:val="24"/>
        </w:rPr>
        <w:t>stenošanas kapacitāte)</w:t>
      </w:r>
    </w:p>
    <w:p w:rsidR="008A4E6A" w:rsidRPr="008A4E6A" w:rsidRDefault="008A4E6A" w:rsidP="008A4E6A">
      <w:pPr>
        <w:pStyle w:val="ListParagraph"/>
        <w:ind w:left="1440"/>
        <w:rPr>
          <w:rFonts w:ascii="Times New Roman" w:hAnsi="Times New Roman" w:cs="Times New Roman"/>
          <w:color w:val="1F497D"/>
          <w:szCs w:val="24"/>
        </w:rPr>
      </w:pPr>
    </w:p>
    <w:p w:rsidR="008A4E6A" w:rsidRPr="008A4E6A" w:rsidRDefault="008A4E6A" w:rsidP="008A4E6A">
      <w:pPr>
        <w:pStyle w:val="ListParagraph"/>
        <w:numPr>
          <w:ilvl w:val="1"/>
          <w:numId w:val="4"/>
        </w:numPr>
        <w:rPr>
          <w:rFonts w:ascii="Times New Roman" w:hAnsi="Times New Roman" w:cs="Times New Roman"/>
          <w:szCs w:val="24"/>
        </w:rPr>
      </w:pPr>
      <w:r w:rsidRPr="008A4E6A">
        <w:rPr>
          <w:rFonts w:ascii="Times New Roman" w:hAnsi="Times New Roman" w:cs="Times New Roman"/>
          <w:b/>
          <w:bCs/>
          <w:szCs w:val="24"/>
        </w:rPr>
        <w:t>No Netiešajām projekta izmaksām</w:t>
      </w:r>
      <w:r w:rsidRPr="008A4E6A">
        <w:rPr>
          <w:rFonts w:ascii="Times New Roman" w:hAnsi="Times New Roman" w:cs="Times New Roman"/>
          <w:szCs w:val="24"/>
        </w:rPr>
        <w:t>. Izvēloties šo variantu, eksperta iesaistes slodzes apjoms nav būtisks. Par Netiešo izmaksu izlietojumu projekta iesniedzējam nav jāsniedz detalizēta atskaite.</w:t>
      </w:r>
    </w:p>
    <w:p w:rsidR="008A4E6A" w:rsidRPr="008A4E6A" w:rsidRDefault="008A4E6A" w:rsidP="008A4E6A">
      <w:pPr>
        <w:spacing w:before="120" w:after="0"/>
        <w:rPr>
          <w:rFonts w:cs="Times New Roman"/>
          <w:color w:val="1F497D"/>
          <w:szCs w:val="24"/>
        </w:rPr>
      </w:pPr>
      <w:r>
        <w:rPr>
          <w:rFonts w:cs="Times New Roman"/>
          <w:color w:val="1F497D"/>
          <w:szCs w:val="24"/>
        </w:rPr>
        <w:t>Vienīgi jūs</w:t>
      </w:r>
      <w:r w:rsidRPr="008A4E6A">
        <w:rPr>
          <w:rFonts w:cs="Times New Roman"/>
          <w:color w:val="1F497D"/>
          <w:szCs w:val="24"/>
        </w:rPr>
        <w:t>, kā projekta iesniedzējs, plānojot eksperta ieguldījuma apjomu un specifiku, normatīvo regulējuma ietvaros, varat veikt optimālā risinājuma izvēli!</w:t>
      </w:r>
    </w:p>
    <w:p w:rsidR="008A4E6A" w:rsidRPr="007A7CD0" w:rsidRDefault="008A4E6A" w:rsidP="007A7CD0">
      <w:pPr>
        <w:spacing w:after="0" w:line="240" w:lineRule="auto"/>
        <w:jc w:val="both"/>
        <w:rPr>
          <w:rFonts w:cs="Times New Roman"/>
          <w:szCs w:val="24"/>
        </w:rPr>
      </w:pPr>
    </w:p>
    <w:sectPr w:rsidR="008A4E6A" w:rsidRPr="007A7CD0" w:rsidSect="00847F7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1592B"/>
    <w:multiLevelType w:val="hybridMultilevel"/>
    <w:tmpl w:val="91003C4E"/>
    <w:lvl w:ilvl="0" w:tplc="A6C0C2EC">
      <w:start w:val="1"/>
      <w:numFmt w:val="decimal"/>
      <w:lvlText w:val="%1."/>
      <w:lvlJc w:val="left"/>
      <w:pPr>
        <w:ind w:left="720" w:hanging="360"/>
      </w:pPr>
      <w:rPr>
        <w:rFonts w:ascii="Courier New" w:hAnsi="Courier New" w:cs="Courier New" w:hint="default"/>
        <w:i w:val="0"/>
        <w:color w:val="auto"/>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426B2B"/>
    <w:multiLevelType w:val="hybridMultilevel"/>
    <w:tmpl w:val="1346CA0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EC73B52"/>
    <w:multiLevelType w:val="hybridMultilevel"/>
    <w:tmpl w:val="B9DCA5B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83C1522"/>
    <w:multiLevelType w:val="hybridMultilevel"/>
    <w:tmpl w:val="B7920204"/>
    <w:lvl w:ilvl="0" w:tplc="B868267C">
      <w:start w:val="1"/>
      <w:numFmt w:val="bullet"/>
      <w:lvlText w:val="!"/>
      <w:lvlJc w:val="left"/>
      <w:pPr>
        <w:ind w:left="720" w:hanging="360"/>
      </w:pPr>
      <w:rPr>
        <w:rFonts w:ascii="Cooper Black" w:hAnsi="Cooper Black" w:hint="default"/>
        <w:color w:val="0000FF"/>
        <w:sz w:val="24"/>
        <w:szCs w:val="24"/>
      </w:rPr>
    </w:lvl>
    <w:lvl w:ilvl="1" w:tplc="0426000F">
      <w:start w:val="1"/>
      <w:numFmt w:val="decimal"/>
      <w:lvlText w:val="%2."/>
      <w:lvlJc w:val="left"/>
      <w:pPr>
        <w:ind w:left="1440" w:hanging="360"/>
      </w:p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36"/>
    <w:rsid w:val="000B5536"/>
    <w:rsid w:val="000D27DA"/>
    <w:rsid w:val="001078F3"/>
    <w:rsid w:val="00110D96"/>
    <w:rsid w:val="00127ACC"/>
    <w:rsid w:val="001B49BE"/>
    <w:rsid w:val="001C19D2"/>
    <w:rsid w:val="001D3864"/>
    <w:rsid w:val="002C3E36"/>
    <w:rsid w:val="002F0CA8"/>
    <w:rsid w:val="00321742"/>
    <w:rsid w:val="004125EA"/>
    <w:rsid w:val="00430B98"/>
    <w:rsid w:val="0050502D"/>
    <w:rsid w:val="00550892"/>
    <w:rsid w:val="005D50BD"/>
    <w:rsid w:val="00791F7A"/>
    <w:rsid w:val="007A7CD0"/>
    <w:rsid w:val="008074D8"/>
    <w:rsid w:val="00847F72"/>
    <w:rsid w:val="008A4E6A"/>
    <w:rsid w:val="00985782"/>
    <w:rsid w:val="00AE2DCC"/>
    <w:rsid w:val="00B02A99"/>
    <w:rsid w:val="00B90A47"/>
    <w:rsid w:val="00BD5C7C"/>
    <w:rsid w:val="00BD6C2B"/>
    <w:rsid w:val="00C049D1"/>
    <w:rsid w:val="00C2104E"/>
    <w:rsid w:val="00C23A36"/>
    <w:rsid w:val="00CA704C"/>
    <w:rsid w:val="00CD09D8"/>
    <w:rsid w:val="00EB7C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6CDC1-2BD0-48BB-B2EF-DA45EE4C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8A4E6A"/>
    <w:pPr>
      <w:keepNext/>
      <w:spacing w:before="40" w:after="0" w:line="252" w:lineRule="auto"/>
      <w:outlineLvl w:val="1"/>
    </w:pPr>
    <w:rPr>
      <w:rFonts w:ascii="Calibri Light"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3A36"/>
    <w:pPr>
      <w:spacing w:before="100" w:beforeAutospacing="1" w:after="100" w:afterAutospacing="1" w:line="240" w:lineRule="auto"/>
    </w:pPr>
    <w:rPr>
      <w:rFonts w:cs="Times New Roman"/>
      <w:szCs w:val="24"/>
      <w:lang w:eastAsia="lv-LV"/>
    </w:rPr>
  </w:style>
  <w:style w:type="character" w:styleId="Strong">
    <w:name w:val="Strong"/>
    <w:basedOn w:val="DefaultParagraphFont"/>
    <w:uiPriority w:val="22"/>
    <w:qFormat/>
    <w:rsid w:val="00C23A36"/>
    <w:rPr>
      <w:b/>
      <w:bCs/>
    </w:rPr>
  </w:style>
  <w:style w:type="paragraph" w:styleId="BalloonText">
    <w:name w:val="Balloon Text"/>
    <w:basedOn w:val="Normal"/>
    <w:link w:val="BalloonTextChar"/>
    <w:uiPriority w:val="99"/>
    <w:semiHidden/>
    <w:unhideWhenUsed/>
    <w:rsid w:val="00C04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9D1"/>
    <w:rPr>
      <w:rFonts w:ascii="Segoe UI" w:hAnsi="Segoe UI" w:cs="Segoe UI"/>
      <w:sz w:val="18"/>
      <w:szCs w:val="18"/>
    </w:rPr>
  </w:style>
  <w:style w:type="character" w:customStyle="1" w:styleId="ListParagraphChar">
    <w:name w:val="List Paragraph Char"/>
    <w:aliases w:val="H&amp;P List Paragraph Char,2 Char,Colorful List - Accent 11 Char,Strip Char,Colorful List - Accent 12 Char,Saraksta rindkopa Char,List Paragraph1 Char,List1 Char,Akapit z listą BS Char,Saraksta rindkopa1 Char,Normal bullet 2 Char"/>
    <w:basedOn w:val="DefaultParagraphFont"/>
    <w:link w:val="ListParagraph"/>
    <w:uiPriority w:val="34"/>
    <w:locked/>
    <w:rsid w:val="00BD5C7C"/>
    <w:rPr>
      <w:rFonts w:ascii="Calibri" w:hAnsi="Calibri"/>
    </w:rPr>
  </w:style>
  <w:style w:type="paragraph" w:styleId="ListParagraph">
    <w:name w:val="List Paragraph"/>
    <w:aliases w:val="H&amp;P List Paragraph,2,Colorful List - Accent 11,Strip,Colorful List - Accent 12,Saraksta rindkopa,List Paragraph1,List1,Akapit z listą BS,Saraksta rindkopa1,Normal bullet 2,Bullet list"/>
    <w:basedOn w:val="Normal"/>
    <w:link w:val="ListParagraphChar"/>
    <w:uiPriority w:val="34"/>
    <w:qFormat/>
    <w:rsid w:val="00BD5C7C"/>
    <w:pPr>
      <w:spacing w:after="0" w:line="240" w:lineRule="auto"/>
      <w:ind w:left="720"/>
    </w:pPr>
    <w:rPr>
      <w:rFonts w:ascii="Calibri" w:hAnsi="Calibri"/>
    </w:rPr>
  </w:style>
  <w:style w:type="character" w:customStyle="1" w:styleId="Heading2Char">
    <w:name w:val="Heading 2 Char"/>
    <w:basedOn w:val="DefaultParagraphFont"/>
    <w:link w:val="Heading2"/>
    <w:uiPriority w:val="9"/>
    <w:semiHidden/>
    <w:rsid w:val="008A4E6A"/>
    <w:rPr>
      <w:rFonts w:ascii="Calibri Light"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7243">
      <w:bodyDiv w:val="1"/>
      <w:marLeft w:val="0"/>
      <w:marRight w:val="0"/>
      <w:marTop w:val="0"/>
      <w:marBottom w:val="0"/>
      <w:divBdr>
        <w:top w:val="none" w:sz="0" w:space="0" w:color="auto"/>
        <w:left w:val="none" w:sz="0" w:space="0" w:color="auto"/>
        <w:bottom w:val="none" w:sz="0" w:space="0" w:color="auto"/>
        <w:right w:val="none" w:sz="0" w:space="0" w:color="auto"/>
      </w:divBdr>
    </w:div>
    <w:div w:id="72554578">
      <w:bodyDiv w:val="1"/>
      <w:marLeft w:val="0"/>
      <w:marRight w:val="0"/>
      <w:marTop w:val="0"/>
      <w:marBottom w:val="0"/>
      <w:divBdr>
        <w:top w:val="none" w:sz="0" w:space="0" w:color="auto"/>
        <w:left w:val="none" w:sz="0" w:space="0" w:color="auto"/>
        <w:bottom w:val="none" w:sz="0" w:space="0" w:color="auto"/>
        <w:right w:val="none" w:sz="0" w:space="0" w:color="auto"/>
      </w:divBdr>
    </w:div>
    <w:div w:id="406616393">
      <w:bodyDiv w:val="1"/>
      <w:marLeft w:val="0"/>
      <w:marRight w:val="0"/>
      <w:marTop w:val="0"/>
      <w:marBottom w:val="0"/>
      <w:divBdr>
        <w:top w:val="none" w:sz="0" w:space="0" w:color="auto"/>
        <w:left w:val="none" w:sz="0" w:space="0" w:color="auto"/>
        <w:bottom w:val="none" w:sz="0" w:space="0" w:color="auto"/>
        <w:right w:val="none" w:sz="0" w:space="0" w:color="auto"/>
      </w:divBdr>
    </w:div>
    <w:div w:id="1368988335">
      <w:bodyDiv w:val="1"/>
      <w:marLeft w:val="0"/>
      <w:marRight w:val="0"/>
      <w:marTop w:val="0"/>
      <w:marBottom w:val="0"/>
      <w:divBdr>
        <w:top w:val="none" w:sz="0" w:space="0" w:color="auto"/>
        <w:left w:val="none" w:sz="0" w:space="0" w:color="auto"/>
        <w:bottom w:val="none" w:sz="0" w:space="0" w:color="auto"/>
        <w:right w:val="none" w:sz="0" w:space="0" w:color="auto"/>
      </w:divBdr>
    </w:div>
    <w:div w:id="190817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4967C9EA</Template>
  <TotalTime>21</TotalTime>
  <Pages>4</Pages>
  <Words>6647</Words>
  <Characters>3790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Vēsma Abizāre-Vagre</dc:creator>
  <cp:keywords/>
  <dc:description/>
  <cp:lastModifiedBy>Dace Šantare</cp:lastModifiedBy>
  <cp:revision>7</cp:revision>
  <cp:lastPrinted>2018-03-29T07:56:00Z</cp:lastPrinted>
  <dcterms:created xsi:type="dcterms:W3CDTF">2018-04-17T12:49:00Z</dcterms:created>
  <dcterms:modified xsi:type="dcterms:W3CDTF">2018-04-18T06:33:00Z</dcterms:modified>
</cp:coreProperties>
</file>